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outlineLvl w:val="0"/>
        <w:rPr>
          <w:rFonts w:ascii="长城楷体" w:hAnsi="宋体" w:eastAsia="长城楷体" w:cs="宋体"/>
          <w:b w:val="0"/>
          <w:bCs w:val="0"/>
          <w:spacing w:val="8"/>
          <w:kern w:val="0"/>
          <w:sz w:val="24"/>
          <w:szCs w:val="24"/>
        </w:rPr>
      </w:pPr>
      <w:r>
        <w:rPr>
          <w:rFonts w:ascii="长城楷体" w:hAnsi="宋体" w:eastAsia="长城楷体" w:cs="宋体"/>
          <w:color w:val="B00C03"/>
          <w:spacing w:val="8"/>
          <w:kern w:val="0"/>
          <w:sz w:val="24"/>
          <w:szCs w:val="24"/>
        </w:rPr>
        <w:t>IT运维服务整体方案</w:t>
      </w:r>
    </w:p>
    <w:p>
      <w:pPr>
        <w:widowControl/>
        <w:jc w:val="left"/>
        <w:outlineLvl w:val="0"/>
        <w:rPr>
          <w:rFonts w:ascii="长城楷体" w:hAnsi="宋体" w:eastAsia="长城楷体" w:cs="宋体"/>
          <w:b w:val="0"/>
          <w:bCs w:val="0"/>
          <w:kern w:val="0"/>
          <w:sz w:val="24"/>
          <w:szCs w:val="24"/>
        </w:rPr>
      </w:pPr>
      <w:r>
        <w:rPr>
          <w:rFonts w:ascii="长城楷体" w:hAnsi="宋体" w:eastAsia="长城楷体" w:cs="宋体"/>
          <w:kern w:val="0"/>
          <w:sz w:val="21"/>
          <w:szCs w:val="21"/>
        </w:rPr>
        <w:t>本文主要内容：</w:t>
      </w:r>
    </w:p>
    <w:p>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IT运维服务内容</w:t>
      </w:r>
    </w:p>
    <w:p>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IT运维服务流程</w:t>
      </w:r>
    </w:p>
    <w:p>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IT运维服务管理制度规范</w:t>
      </w:r>
    </w:p>
    <w:p>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IT运维应急服务响应措施</w:t>
      </w:r>
    </w:p>
    <w:p>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3"/>
          <w:szCs w:val="23"/>
        </w:rPr>
        <w:t>一、服务内容</w:t>
      </w:r>
    </w:p>
    <w:p>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8" o:spid="_x0000_s1036" o:spt="1" alt="https://mmbiz.qpic.cn/mmbiz_png/Hkpadb1dCIJ6Kf5IzkkoiaAUsab0XrmlHgIoeicVQXuC4oicZdEyIH0dMmQHmyFj6nrOK1MN9SxOjiblRAdspJiblCg/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CW09giUQMAAG4GAAAOAAAAAAAAAAAAAAAAAC4CAABk&#10;cnMvZTJvRG9jLnhtbFBLAQItABQABgAIAAAAIQBMoOks2AAAAAMBAAAPAAAAAAAAAAAAAAAAAKsF&#10;AABkcnMvZG93bnJldi54bWxQSwUGAAAAAAQABADzAAAAsAYAAAAA&#10;">
            <v:path/>
            <v:fill on="f" focussize="0,0"/>
            <v:stroke on="f"/>
            <v:imagedata o:title=""/>
            <o:lock v:ext="edit" aspectratio="t"/>
            <w10:wrap type="none"/>
            <w10:anchorlock/>
          </v:rect>
        </w:pict>
      </w: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3"/>
          <w:szCs w:val="23"/>
          <w:shd w:val="clear" w:color="auto" w:fill="276CA3"/>
        </w:rPr>
        <w:t>1.1</w:t>
      </w:r>
      <w:r>
        <w:rPr>
          <w:rFonts w:ascii="长城楷体" w:hAnsi="宋体" w:eastAsia="长城楷体" w:cs="宋体"/>
          <w:color w:val="276CA3"/>
          <w:kern w:val="0"/>
          <w:sz w:val="23"/>
          <w:szCs w:val="23"/>
        </w:rPr>
        <w:t>服务目标</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运行维护服务包括，信息系统相关的</w:t>
      </w:r>
      <w:r>
        <w:rPr>
          <w:rFonts w:hint="eastAsia" w:ascii="长城楷体" w:hAnsi="宋体" w:eastAsia="长城楷体" w:cs="宋体"/>
          <w:b w:val="0"/>
          <w:bCs w:val="0"/>
          <w:color w:val="333333"/>
          <w:spacing w:val="8"/>
          <w:kern w:val="0"/>
          <w:sz w:val="23"/>
          <w:szCs w:val="23"/>
          <w:u w:val="single"/>
        </w:rPr>
        <w:t>主机设备</w:t>
      </w:r>
      <w:r>
        <w:rPr>
          <w:rFonts w:hint="eastAsia" w:ascii="长城楷体" w:hAnsi="宋体" w:eastAsia="长城楷体" w:cs="宋体"/>
          <w:b w:val="0"/>
          <w:bCs w:val="0"/>
          <w:color w:val="333333"/>
          <w:spacing w:val="8"/>
          <w:kern w:val="0"/>
          <w:sz w:val="23"/>
          <w:szCs w:val="23"/>
        </w:rPr>
        <w:t>、</w:t>
      </w:r>
      <w:r>
        <w:rPr>
          <w:rFonts w:hint="eastAsia" w:ascii="长城楷体" w:hAnsi="宋体" w:eastAsia="长城楷体" w:cs="宋体"/>
          <w:b w:val="0"/>
          <w:bCs w:val="0"/>
          <w:color w:val="333333"/>
          <w:spacing w:val="8"/>
          <w:kern w:val="0"/>
          <w:sz w:val="23"/>
          <w:szCs w:val="23"/>
          <w:u w:val="single"/>
        </w:rPr>
        <w:t>操作系统</w:t>
      </w:r>
      <w:r>
        <w:rPr>
          <w:rFonts w:hint="eastAsia" w:ascii="长城楷体" w:hAnsi="宋体" w:eastAsia="长城楷体" w:cs="宋体"/>
          <w:b w:val="0"/>
          <w:bCs w:val="0"/>
          <w:color w:val="333333"/>
          <w:spacing w:val="8"/>
          <w:kern w:val="0"/>
          <w:sz w:val="23"/>
          <w:szCs w:val="23"/>
        </w:rPr>
        <w:t>、</w:t>
      </w:r>
      <w:r>
        <w:rPr>
          <w:rFonts w:hint="eastAsia" w:ascii="长城楷体" w:hAnsi="宋体" w:eastAsia="长城楷体" w:cs="宋体"/>
          <w:b w:val="0"/>
          <w:bCs w:val="0"/>
          <w:color w:val="333333"/>
          <w:spacing w:val="8"/>
          <w:kern w:val="0"/>
          <w:sz w:val="23"/>
          <w:szCs w:val="23"/>
          <w:u w:val="single"/>
        </w:rPr>
        <w:t>数据库</w:t>
      </w:r>
      <w:r>
        <w:rPr>
          <w:rFonts w:hint="eastAsia" w:ascii="长城楷体" w:hAnsi="宋体" w:eastAsia="长城楷体" w:cs="宋体"/>
          <w:b w:val="0"/>
          <w:bCs w:val="0"/>
          <w:color w:val="333333"/>
          <w:spacing w:val="8"/>
          <w:kern w:val="0"/>
          <w:sz w:val="23"/>
          <w:szCs w:val="23"/>
        </w:rPr>
        <w:t>和</w:t>
      </w:r>
      <w:r>
        <w:rPr>
          <w:rFonts w:hint="eastAsia" w:ascii="长城楷体" w:hAnsi="宋体" w:eastAsia="长城楷体" w:cs="宋体"/>
          <w:b w:val="0"/>
          <w:bCs w:val="0"/>
          <w:color w:val="333333"/>
          <w:spacing w:val="8"/>
          <w:kern w:val="0"/>
          <w:sz w:val="23"/>
          <w:szCs w:val="23"/>
          <w:u w:val="single"/>
        </w:rPr>
        <w:t>存储设备</w:t>
      </w:r>
      <w:r>
        <w:rPr>
          <w:rFonts w:hint="eastAsia" w:ascii="长城楷体" w:hAnsi="宋体" w:eastAsia="长城楷体" w:cs="宋体"/>
          <w:b w:val="0"/>
          <w:bCs w:val="0"/>
          <w:color w:val="333333"/>
          <w:spacing w:val="8"/>
          <w:kern w:val="0"/>
          <w:sz w:val="23"/>
          <w:szCs w:val="23"/>
        </w:rPr>
        <w:t>及</w:t>
      </w:r>
      <w:r>
        <w:rPr>
          <w:rFonts w:hint="eastAsia" w:ascii="长城楷体" w:hAnsi="宋体" w:eastAsia="长城楷体" w:cs="宋体"/>
          <w:b w:val="0"/>
          <w:bCs w:val="0"/>
          <w:color w:val="333333"/>
          <w:spacing w:val="8"/>
          <w:kern w:val="0"/>
          <w:sz w:val="23"/>
          <w:szCs w:val="23"/>
          <w:u w:val="single"/>
        </w:rPr>
        <w:t>其他信息系统</w:t>
      </w:r>
      <w:r>
        <w:rPr>
          <w:rFonts w:hint="eastAsia" w:ascii="长城楷体" w:hAnsi="宋体" w:eastAsia="长城楷体" w:cs="宋体"/>
          <w:b w:val="0"/>
          <w:bCs w:val="0"/>
          <w:color w:val="333333"/>
          <w:spacing w:val="8"/>
          <w:kern w:val="0"/>
          <w:sz w:val="23"/>
          <w:szCs w:val="23"/>
        </w:rPr>
        <w:t>的</w:t>
      </w:r>
      <w:r>
        <w:rPr>
          <w:rFonts w:hint="eastAsia" w:ascii="长城楷体" w:hAnsi="宋体" w:eastAsia="长城楷体" w:cs="宋体"/>
          <w:b w:val="0"/>
          <w:bCs w:val="0"/>
          <w:color w:val="333333"/>
          <w:spacing w:val="8"/>
          <w:kern w:val="0"/>
          <w:sz w:val="23"/>
          <w:szCs w:val="23"/>
          <w:u w:val="single"/>
        </w:rPr>
        <w:t>运行维护与安全防范</w:t>
      </w:r>
      <w:r>
        <w:rPr>
          <w:rFonts w:hint="eastAsia" w:ascii="长城楷体" w:hAnsi="宋体" w:eastAsia="长城楷体" w:cs="宋体"/>
          <w:b w:val="0"/>
          <w:bCs w:val="0"/>
          <w:color w:val="333333"/>
          <w:spacing w:val="8"/>
          <w:kern w:val="0"/>
          <w:sz w:val="23"/>
          <w:szCs w:val="23"/>
        </w:rPr>
        <w:t>服务，保证用户现有的信息系统的正常运行，降低整体管理成本，提高网络信息系统的整体服务水平。同时根据日常维护的数据和记录，提供用户信息系统的整体建设规划和建议，更好的为用户的信息化发展提供有力的保障。</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用户信息系统的组成主要可分为两类：硬件设备和软件系统。硬件设备包括网络设备、安全设备、主机设备、存储设备等；软件设备可分为操作系统软件、典型应用软件（如：数据库软件、中间件软件等）、业务应用软件等。</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通过运行维护服务的有效管理来提升用户信息系统的服务效率，协调各业务应用系统的内部运作，改善网络信息系统部门与业务部门的沟通，提高服务质量。结合用户现有的环境、组织结构、IT资源和管理流程的特点，从流程、人员和技术三方面来规划用户的网络信息系统的结构。将用户的运行目标、业务需求与IT服务的相协调一致。</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信息系统服务的目标是，对用户现有的信息系统基础资源进行监控和管理，及时掌握网络信息系统资源现状和配置信息，反映信息系统资源的可用性情况和健康状况，创建一个可知可控的IT环境，从而保证用户信息系统的各类业务应用系统的可靠、高效、持续、安全运行。</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服务项目范围覆盖的信息系统资源以下方面的关键状态及参数指标：</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运行状态、故障情况</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配置信息</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可用性情况及健康状况性能指标</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统计运维数椐、提供信息系统管理和工作报告、归纳总结并提供用户想了解的数椐报告</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3"/>
          <w:szCs w:val="23"/>
          <w:shd w:val="clear" w:color="auto" w:fill="276CA3"/>
        </w:rPr>
        <w:t>1.2</w:t>
      </w:r>
      <w:r>
        <w:rPr>
          <w:rFonts w:ascii="长城楷体" w:hAnsi="宋体" w:eastAsia="长城楷体" w:cs="宋体"/>
          <w:color w:val="276CA3"/>
          <w:kern w:val="0"/>
          <w:sz w:val="23"/>
          <w:szCs w:val="23"/>
        </w:rPr>
        <w:t>信息资产统计服务</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此项服务为基本服务，包含在运行维护服务中，帮助我们对用户现有的信息资产情况进行了解，更好的提供系统的运行维护服务。</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服务内容包括：</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硬件设备型号、数量、版本等信息统计记录</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软件产品型号、版本和补丁等信息统计记录</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网络结构、网络路由、网络IP地址统计记录</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综合布线系统结构图的绘制</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其它附属设备的统计记录</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硬件设备清单统计</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3"/>
          <w:szCs w:val="23"/>
          <w:shd w:val="clear" w:color="auto" w:fill="276CA3"/>
        </w:rPr>
        <w:t>1.3</w:t>
      </w:r>
      <w:r>
        <w:rPr>
          <w:rFonts w:ascii="长城楷体" w:hAnsi="宋体" w:eastAsia="长城楷体" w:cs="宋体"/>
          <w:color w:val="276CA3"/>
          <w:kern w:val="0"/>
          <w:sz w:val="23"/>
          <w:szCs w:val="23"/>
        </w:rPr>
        <w:t>网络、安全系统运维服务</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从网络的连通性、网络的性能、网络的监控管理三个方面实现对网络系统的运维管理。网络、安全系统基本服务内容：</w:t>
      </w:r>
    </w:p>
    <w:tbl>
      <w:tblPr>
        <w:tblStyle w:val="8"/>
        <w:tblW w:w="9631" w:type="dxa"/>
        <w:tblInd w:w="0" w:type="dxa"/>
        <w:shd w:val="clear" w:color="auto" w:fill="FFFFFF"/>
        <w:tblLayout w:type="autofit"/>
        <w:tblCellMar>
          <w:top w:w="0" w:type="dxa"/>
          <w:left w:w="0" w:type="dxa"/>
          <w:bottom w:w="0" w:type="dxa"/>
          <w:right w:w="0" w:type="dxa"/>
        </w:tblCellMar>
      </w:tblPr>
      <w:tblGrid>
        <w:gridCol w:w="1138"/>
        <w:gridCol w:w="3411"/>
        <w:gridCol w:w="3837"/>
        <w:gridCol w:w="1245"/>
      </w:tblGrid>
      <w:tr>
        <w:tblPrEx>
          <w:shd w:val="clear" w:color="auto" w:fill="FFFFFF"/>
          <w:tblCellMar>
            <w:top w:w="0" w:type="dxa"/>
            <w:left w:w="0" w:type="dxa"/>
            <w:bottom w:w="0" w:type="dxa"/>
            <w:right w:w="0" w:type="dxa"/>
          </w:tblCellMar>
        </w:tblPrEx>
        <w:trPr>
          <w:trHeight w:val="435" w:hRule="atLeast"/>
        </w:trPr>
        <w:tc>
          <w:tcPr>
            <w:tcW w:w="1138" w:type="dxa"/>
            <w:tcBorders>
              <w:top w:val="single" w:color="auto" w:sz="6" w:space="0"/>
              <w:left w:val="single" w:color="auto" w:sz="6" w:space="0"/>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序号</w:t>
            </w:r>
          </w:p>
        </w:tc>
        <w:tc>
          <w:tcPr>
            <w:tcW w:w="3411"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服务模块</w:t>
            </w:r>
          </w:p>
        </w:tc>
        <w:tc>
          <w:tcPr>
            <w:tcW w:w="3837"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内容描述</w:t>
            </w:r>
          </w:p>
        </w:tc>
        <w:tc>
          <w:tcPr>
            <w:tcW w:w="1245"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提供方</w:t>
            </w:r>
          </w:p>
        </w:tc>
      </w:tr>
      <w:tr>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现场备件安装</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配合用户进行，按备件到达现场时间工程师到达现场</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现场软件升级</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首先分析软件升级的必要性和风险，配合用户进行软件升级</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现场故障诊断</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按服务级别：7×24小时</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            5×8小时</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电话远程技术支持</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7×24小时</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问题管理系统</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对遇到的问题进行汇总和发布</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bl>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tbl>
      <w:tblPr>
        <w:tblStyle w:val="8"/>
        <w:tblW w:w="9631" w:type="dxa"/>
        <w:tblInd w:w="0" w:type="dxa"/>
        <w:shd w:val="clear" w:color="auto" w:fill="FFFFFF"/>
        <w:tblLayout w:type="autofit"/>
        <w:tblCellMar>
          <w:top w:w="0" w:type="dxa"/>
          <w:left w:w="0" w:type="dxa"/>
          <w:bottom w:w="0" w:type="dxa"/>
          <w:right w:w="0" w:type="dxa"/>
        </w:tblCellMar>
      </w:tblPr>
      <w:tblGrid>
        <w:gridCol w:w="864"/>
        <w:gridCol w:w="1729"/>
        <w:gridCol w:w="1296"/>
        <w:gridCol w:w="781"/>
        <w:gridCol w:w="2460"/>
        <w:gridCol w:w="1729"/>
        <w:gridCol w:w="772"/>
      </w:tblGrid>
      <w:tr>
        <w:tblPrEx>
          <w:tblCellMar>
            <w:top w:w="0" w:type="dxa"/>
            <w:left w:w="0" w:type="dxa"/>
            <w:bottom w:w="0" w:type="dxa"/>
            <w:right w:w="0" w:type="dxa"/>
          </w:tblCellMar>
        </w:tblPrEx>
        <w:tc>
          <w:tcPr>
            <w:tcW w:w="9631" w:type="dxa"/>
            <w:gridSpan w:val="7"/>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网络核心交换机巡视典型作业计划书</w:t>
            </w:r>
          </w:p>
        </w:tc>
      </w:tr>
      <w:tr>
        <w:tblPrEx>
          <w:tblCellMar>
            <w:top w:w="0" w:type="dxa"/>
            <w:left w:w="0" w:type="dxa"/>
            <w:bottom w:w="0" w:type="dxa"/>
            <w:right w:w="0" w:type="dxa"/>
          </w:tblCellMar>
        </w:tblPrEx>
        <w:tc>
          <w:tcPr>
            <w:tcW w:w="4670" w:type="dxa"/>
            <w:gridSpan w:val="4"/>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系统管理单位：</w:t>
            </w:r>
          </w:p>
        </w:tc>
        <w:tc>
          <w:tcPr>
            <w:tcW w:w="4961" w:type="dxa"/>
            <w:gridSpan w:val="3"/>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维保单位：</w:t>
            </w:r>
          </w:p>
        </w:tc>
      </w:tr>
      <w:tr>
        <w:tblPrEx>
          <w:shd w:val="clear" w:color="auto" w:fill="FFFFFF"/>
          <w:tblCellMar>
            <w:top w:w="0" w:type="dxa"/>
            <w:left w:w="0" w:type="dxa"/>
            <w:bottom w:w="0" w:type="dxa"/>
            <w:right w:w="0" w:type="dxa"/>
          </w:tblCellMar>
        </w:tblPrEx>
        <w:tc>
          <w:tcPr>
            <w:tcW w:w="2593"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设备名：</w:t>
            </w:r>
          </w:p>
        </w:tc>
        <w:tc>
          <w:tcPr>
            <w:tcW w:w="2077" w:type="dxa"/>
            <w:gridSpan w:val="2"/>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设备型号：</w:t>
            </w:r>
          </w:p>
        </w:tc>
        <w:tc>
          <w:tcPr>
            <w:tcW w:w="4961" w:type="dxa"/>
            <w:gridSpan w:val="3"/>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管理IP：</w:t>
            </w:r>
          </w:p>
        </w:tc>
      </w:tr>
      <w:tr>
        <w:tblPrEx>
          <w:tblCellMar>
            <w:top w:w="0" w:type="dxa"/>
            <w:left w:w="0" w:type="dxa"/>
            <w:bottom w:w="0" w:type="dxa"/>
            <w:right w:w="0" w:type="dxa"/>
          </w:tblCellMar>
        </w:tblPrEx>
        <w:tc>
          <w:tcPr>
            <w:tcW w:w="2593"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检查内容</w:t>
            </w:r>
          </w:p>
        </w:tc>
        <w:tc>
          <w:tcPr>
            <w:tcW w:w="1296"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参考标准</w:t>
            </w:r>
          </w:p>
        </w:tc>
        <w:tc>
          <w:tcPr>
            <w:tcW w:w="781"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检查结果</w:t>
            </w:r>
          </w:p>
        </w:tc>
        <w:tc>
          <w:tcPr>
            <w:tcW w:w="2460"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检查结论</w:t>
            </w:r>
          </w:p>
        </w:tc>
        <w:tc>
          <w:tcPr>
            <w:tcW w:w="1729"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巡视方法描述</w:t>
            </w:r>
          </w:p>
        </w:tc>
        <w:tc>
          <w:tcPr>
            <w:tcW w:w="772"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巡检周期</w:t>
            </w:r>
          </w:p>
        </w:tc>
      </w:tr>
      <w:tr>
        <w:tblPrEx>
          <w:tblCellMar>
            <w:top w:w="0" w:type="dxa"/>
            <w:left w:w="0" w:type="dxa"/>
            <w:bottom w:w="0" w:type="dxa"/>
            <w:right w:w="0" w:type="dxa"/>
          </w:tblCellMar>
        </w:tblPrEx>
        <w:tc>
          <w:tcPr>
            <w:tcW w:w="86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硬件运行状态</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电源运行状态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风扇运行状态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模块运行状态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c>
          <w:tcPr>
            <w:tcW w:w="86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系统运行状态检查</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VLAN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rPr>
          <w:trHeight w:val="34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rPr>
          <w:trHeight w:val="34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OSPF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rPr>
          <w:trHeight w:val="465" w:hRule="atLeast"/>
        </w:trPr>
        <w:tc>
          <w:tcPr>
            <w:tcW w:w="86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日志检查</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日志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86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其他检查内容</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bl>
    <w:p>
      <w:pPr>
        <w:widowControl/>
        <w:shd w:val="clear" w:color="auto" w:fill="FFFFFF"/>
        <w:spacing w:line="360" w:lineRule="atLeast"/>
        <w:ind w:left="84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(1) 用户现场技术人员值守</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根据用户的需求提供长期的用户现场技术人员值守服务，保证网络的实时连通和可用，保障接入交换机、汇聚交换机和核心交换机的正常运转。</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现场值守的技术人员每天记录网络交换机的端口是否可以正常使用，网络的转发和路由是否正常进行，交换机的性能检测，进行整体网络性能评估，针对网络的利用率进行优化并提出网络扩容和优化的建议。</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现场值守人员还进行安全设备的日常运行状态的监控，对各种安全设备的日志检查，对重点事件进行记录，对安全事件的产生原因进行判断和解决，及时发现问题，防患于未然。</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同时能够对设备的运行数据进行记录，形成报表进行统计分析，便于进行网络系统的分析和故障的提前预知。具体记录的数据包括：</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配置数据</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性能数据</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故障数据</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(2) 现场巡检服务</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现场巡检服务是对客户的设备及网络进行全面检查的服务项目，通过该服务可使客户获得设备运行的第一手资料，最大可能地发现存在的隐患，保障设备稳定运行。</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同时，将有针对性地提出预警及解决建议，使客户能够提早预防，最大限度降低运营风险。</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巡检包括的内容如下：</w:t>
      </w:r>
    </w:p>
    <w:tbl>
      <w:tblPr>
        <w:tblStyle w:val="8"/>
        <w:tblW w:w="9631" w:type="dxa"/>
        <w:tblInd w:w="0" w:type="dxa"/>
        <w:shd w:val="clear" w:color="auto" w:fill="FFFFFF"/>
        <w:tblLayout w:type="autofit"/>
        <w:tblCellMar>
          <w:top w:w="0" w:type="dxa"/>
          <w:left w:w="0" w:type="dxa"/>
          <w:bottom w:w="0" w:type="dxa"/>
          <w:right w:w="0" w:type="dxa"/>
        </w:tblCellMar>
      </w:tblPr>
      <w:tblGrid>
        <w:gridCol w:w="1109"/>
        <w:gridCol w:w="2791"/>
        <w:gridCol w:w="2989"/>
        <w:gridCol w:w="218"/>
        <w:gridCol w:w="2524"/>
      </w:tblGrid>
      <w:tr>
        <w:tblPrEx>
          <w:shd w:val="clear" w:color="auto" w:fill="FFFFFF"/>
          <w:tblCellMar>
            <w:top w:w="0" w:type="dxa"/>
            <w:left w:w="0" w:type="dxa"/>
            <w:bottom w:w="0" w:type="dxa"/>
            <w:right w:w="0" w:type="dxa"/>
          </w:tblCellMar>
        </w:tblPrEx>
        <w:tc>
          <w:tcPr>
            <w:tcW w:w="1109"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编号</w:t>
            </w:r>
          </w:p>
        </w:tc>
        <w:tc>
          <w:tcPr>
            <w:tcW w:w="8522" w:type="dxa"/>
            <w:gridSpan w:val="4"/>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巡检内容</w:t>
            </w:r>
          </w:p>
        </w:tc>
      </w:tr>
      <w:tr>
        <w:tblPrEx>
          <w:tblCellMar>
            <w:top w:w="0" w:type="dxa"/>
            <w:left w:w="0" w:type="dxa"/>
            <w:bottom w:w="0" w:type="dxa"/>
            <w:right w:w="0" w:type="dxa"/>
          </w:tblCellMar>
        </w:tblPrEx>
        <w:tc>
          <w:tcPr>
            <w:tcW w:w="1109"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8522" w:type="dxa"/>
            <w:gridSpan w:val="4"/>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硬件运行状态检查项目</w:t>
            </w: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单板状态检查</w:t>
            </w:r>
          </w:p>
        </w:tc>
        <w:tc>
          <w:tcPr>
            <w:tcW w:w="2989"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电源模块状态检查</w:t>
            </w:r>
          </w:p>
        </w:tc>
        <w:tc>
          <w:tcPr>
            <w:tcW w:w="2742" w:type="dxa"/>
            <w:gridSpan w:val="2"/>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风扇状态检查</w:t>
            </w: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整机指示灯状态检查</w:t>
            </w:r>
          </w:p>
        </w:tc>
        <w:tc>
          <w:tcPr>
            <w:tcW w:w="298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机框防尘网检查</w:t>
            </w:r>
          </w:p>
        </w:tc>
        <w:tc>
          <w:tcPr>
            <w:tcW w:w="2742" w:type="dxa"/>
            <w:gridSpan w:val="2"/>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机房温度、湿度检查</w:t>
            </w: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设备地线检查</w:t>
            </w:r>
          </w:p>
        </w:tc>
        <w:tc>
          <w:tcPr>
            <w:tcW w:w="298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c>
          <w:tcPr>
            <w:tcW w:w="2742" w:type="dxa"/>
            <w:gridSpan w:val="2"/>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1109"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8522" w:type="dxa"/>
            <w:gridSpan w:val="4"/>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软件运行情况检查项目</w:t>
            </w: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设备运行情况检查</w:t>
            </w:r>
          </w:p>
        </w:tc>
        <w:tc>
          <w:tcPr>
            <w:tcW w:w="2989"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网络报文分析</w:t>
            </w:r>
          </w:p>
        </w:tc>
        <w:tc>
          <w:tcPr>
            <w:tcW w:w="2742" w:type="dxa"/>
            <w:gridSpan w:val="2"/>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设备对接运行状况检查</w:t>
            </w: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路由运行情况检查</w:t>
            </w:r>
          </w:p>
        </w:tc>
        <w:tc>
          <w:tcPr>
            <w:tcW w:w="298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c>
          <w:tcPr>
            <w:tcW w:w="2742" w:type="dxa"/>
            <w:gridSpan w:val="2"/>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1109"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8522" w:type="dxa"/>
            <w:gridSpan w:val="4"/>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网络整体运行情况调查</w:t>
            </w: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网络运行问题调查</w:t>
            </w:r>
          </w:p>
        </w:tc>
        <w:tc>
          <w:tcPr>
            <w:tcW w:w="3207" w:type="dxa"/>
            <w:gridSpan w:val="2"/>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网络变更情况调查</w:t>
            </w:r>
          </w:p>
        </w:tc>
        <w:tc>
          <w:tcPr>
            <w:tcW w:w="2524"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网络历史故障调查</w:t>
            </w:r>
          </w:p>
        </w:tc>
      </w:tr>
    </w:tbl>
    <w:p>
      <w:pPr>
        <w:widowControl/>
        <w:shd w:val="clear" w:color="auto" w:fill="FFFFFF"/>
        <w:spacing w:line="360" w:lineRule="atLeast"/>
        <w:ind w:left="84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(3) 网络运行分析与管理服务</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网络运行分析与管理服务是指工程师通过对网络运行状况、网络问题进行周期性检查、分析后，为客户提出指导性建议的一种综合性高级服务，其内容包括：</w:t>
      </w:r>
    </w:p>
    <w:tbl>
      <w:tblPr>
        <w:tblStyle w:val="8"/>
        <w:tblW w:w="9631" w:type="dxa"/>
        <w:tblInd w:w="0" w:type="dxa"/>
        <w:shd w:val="clear" w:color="auto" w:fill="FFFFFF"/>
        <w:tblLayout w:type="autofit"/>
        <w:tblCellMar>
          <w:top w:w="0" w:type="dxa"/>
          <w:left w:w="0" w:type="dxa"/>
          <w:bottom w:w="0" w:type="dxa"/>
          <w:right w:w="0" w:type="dxa"/>
        </w:tblCellMar>
      </w:tblPr>
      <w:tblGrid>
        <w:gridCol w:w="5050"/>
        <w:gridCol w:w="4581"/>
      </w:tblGrid>
      <w:tr>
        <w:tblPrEx>
          <w:shd w:val="clear" w:color="auto" w:fill="FFFFFF"/>
          <w:tblCellMar>
            <w:top w:w="0" w:type="dxa"/>
            <w:left w:w="0" w:type="dxa"/>
            <w:bottom w:w="0" w:type="dxa"/>
            <w:right w:w="0" w:type="dxa"/>
          </w:tblCellMar>
        </w:tblPrEx>
        <w:tc>
          <w:tcPr>
            <w:tcW w:w="5050" w:type="dxa"/>
            <w:tcBorders>
              <w:top w:val="single" w:color="auto" w:sz="6" w:space="0"/>
              <w:left w:val="single" w:color="auto" w:sz="6" w:space="0"/>
              <w:bottom w:val="single" w:color="auto" w:sz="6" w:space="0"/>
              <w:right w:val="single" w:color="auto" w:sz="6" w:space="0"/>
            </w:tcBorders>
            <w:shd w:val="clear" w:color="auto" w:fill="B3B3B3"/>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服务内容</w:t>
            </w:r>
          </w:p>
        </w:tc>
        <w:tc>
          <w:tcPr>
            <w:tcW w:w="4581" w:type="dxa"/>
            <w:tcBorders>
              <w:top w:val="single" w:color="auto" w:sz="6" w:space="0"/>
              <w:left w:val="nil"/>
              <w:bottom w:val="single" w:color="auto" w:sz="6" w:space="0"/>
              <w:right w:val="single" w:color="auto" w:sz="6" w:space="0"/>
            </w:tcBorders>
            <w:shd w:val="clear" w:color="auto" w:fill="B3B3B3"/>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服务优点</w:t>
            </w:r>
          </w:p>
        </w:tc>
      </w:tr>
      <w:tr>
        <w:tblPrEx>
          <w:shd w:val="clear" w:color="auto" w:fill="FFFFFF"/>
          <w:tblCellMar>
            <w:top w:w="0" w:type="dxa"/>
            <w:left w:w="0" w:type="dxa"/>
            <w:bottom w:w="0" w:type="dxa"/>
            <w:right w:w="0" w:type="dxa"/>
          </w:tblCellMar>
        </w:tblPrEx>
        <w:tc>
          <w:tcPr>
            <w:tcW w:w="50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向客户提供网络专家电话号码。</w:t>
            </w:r>
          </w:p>
        </w:tc>
        <w:tc>
          <w:tcPr>
            <w:tcW w:w="45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保证重大问题第一连线至网络专家。</w:t>
            </w:r>
          </w:p>
        </w:tc>
      </w:tr>
      <w:tr>
        <w:tblPrEx>
          <w:shd w:val="clear" w:color="auto" w:fill="FFFFFF"/>
          <w:tblCellMar>
            <w:top w:w="0" w:type="dxa"/>
            <w:left w:w="0" w:type="dxa"/>
            <w:bottom w:w="0" w:type="dxa"/>
            <w:right w:w="0" w:type="dxa"/>
          </w:tblCellMar>
        </w:tblPrEx>
        <w:tc>
          <w:tcPr>
            <w:tcW w:w="50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网络专家组每周与客户进行不少于2小时的电话技术交流</w:t>
            </w:r>
          </w:p>
        </w:tc>
        <w:tc>
          <w:tcPr>
            <w:tcW w:w="45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以最小成本保证及时解答客户关心的技术问题，并就某一领域技术问题展开深层次沟通。</w:t>
            </w:r>
          </w:p>
        </w:tc>
      </w:tr>
      <w:tr>
        <w:tblPrEx>
          <w:shd w:val="clear" w:color="auto" w:fill="FFFFFF"/>
          <w:tblCellMar>
            <w:top w:w="0" w:type="dxa"/>
            <w:left w:w="0" w:type="dxa"/>
            <w:bottom w:w="0" w:type="dxa"/>
            <w:right w:w="0" w:type="dxa"/>
          </w:tblCellMar>
        </w:tblPrEx>
        <w:tc>
          <w:tcPr>
            <w:tcW w:w="50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每月向客户提交CASE汇总分析报告，并可扩展到每年17次（月度、季度、年度）</w:t>
            </w:r>
          </w:p>
        </w:tc>
        <w:tc>
          <w:tcPr>
            <w:tcW w:w="45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使客户了解网络历史故障情况以及故障预防建议，最大程度减少网络故障隐患，更高效的进行网络管理。</w:t>
            </w:r>
          </w:p>
        </w:tc>
      </w:tr>
    </w:tbl>
    <w:p>
      <w:pPr>
        <w:widowControl/>
        <w:shd w:val="clear" w:color="auto" w:fill="FFFFFF"/>
        <w:spacing w:line="360" w:lineRule="atLeast"/>
        <w:ind w:left="84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(4) 重要时刻专人值守服务</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保证重要时刻设备稳定运行对客户成功尤为关键，因此，可对客户提供重要时刻的专人现场值守支持，包括政府客户的重大会议期间、金融客户的年终结算日、运营商客户的生产网重大割接或其它任何客户认为可能对其业务运营产生重大影响的时刻。</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如需专人值守，客户需至少提前3周与授权服务商客户服务经理联系。对每位合约客户，授权服务商均需按事先合同约定提供专人值守服务。客户如需超出合同约定范围的更多值守支持，需额外支付相应人力和差旅费用。</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1.4</w:t>
      </w:r>
      <w:r>
        <w:rPr>
          <w:rFonts w:ascii="长城楷体" w:hAnsi="宋体" w:eastAsia="长城楷体" w:cs="宋体"/>
          <w:color w:val="276CA3"/>
          <w:kern w:val="0"/>
          <w:sz w:val="24"/>
          <w:szCs w:val="24"/>
        </w:rPr>
        <w:t>主机、存储系统运维服务</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主机、存储系统的运维服务包括：主机、存储设备的日常监控，设备的运行状态监控，故障处理，操作系统维护，补丁升级等内容。</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主机存储系统基本服务内容：</w:t>
      </w:r>
    </w:p>
    <w:tbl>
      <w:tblPr>
        <w:tblStyle w:val="8"/>
        <w:tblW w:w="9348" w:type="dxa"/>
        <w:tblInd w:w="0" w:type="dxa"/>
        <w:shd w:val="clear" w:color="auto" w:fill="FFFFFF"/>
        <w:tblLayout w:type="autofit"/>
        <w:tblCellMar>
          <w:top w:w="0" w:type="dxa"/>
          <w:left w:w="0" w:type="dxa"/>
          <w:bottom w:w="0" w:type="dxa"/>
          <w:right w:w="0" w:type="dxa"/>
        </w:tblCellMar>
      </w:tblPr>
      <w:tblGrid>
        <w:gridCol w:w="791"/>
        <w:gridCol w:w="2723"/>
        <w:gridCol w:w="4820"/>
        <w:gridCol w:w="1014"/>
      </w:tblGrid>
      <w:tr>
        <w:tblPrEx>
          <w:shd w:val="clear" w:color="auto" w:fill="FFFFFF"/>
          <w:tblCellMar>
            <w:top w:w="0" w:type="dxa"/>
            <w:left w:w="0" w:type="dxa"/>
            <w:bottom w:w="0" w:type="dxa"/>
            <w:right w:w="0" w:type="dxa"/>
          </w:tblCellMar>
        </w:tblPrEx>
        <w:trPr>
          <w:trHeight w:val="435" w:hRule="atLeast"/>
        </w:trPr>
        <w:tc>
          <w:tcPr>
            <w:tcW w:w="791" w:type="dxa"/>
            <w:tcBorders>
              <w:top w:val="single" w:color="auto" w:sz="6" w:space="0"/>
              <w:left w:val="single" w:color="auto" w:sz="6" w:space="0"/>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序号</w:t>
            </w:r>
          </w:p>
        </w:tc>
        <w:tc>
          <w:tcPr>
            <w:tcW w:w="2723"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服务模块</w:t>
            </w:r>
          </w:p>
        </w:tc>
        <w:tc>
          <w:tcPr>
            <w:tcW w:w="4820"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内容描述</w:t>
            </w:r>
          </w:p>
        </w:tc>
        <w:tc>
          <w:tcPr>
            <w:tcW w:w="1014"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提供方</w:t>
            </w:r>
          </w:p>
        </w:tc>
      </w:tr>
      <w:tr>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现场备件安装</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配合用户进行。按备件到达现场时间工程师到达现场</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补丁服务</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消除软件漏洞给系统带来的安全隐患，并对安装补丁所引起的系统连锁反应进行合理的平衡。</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升级服务</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对系统进行软件或硬件的升级，以改进、完善现有系统或消除现有系统的漏洞。</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现场故障诊断</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按服务级别：7×24小时</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      5×8小时</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电话远程技术支持</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7×24小时</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6</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问题管理系统</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对遇到的问题进行汇总和发布</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系统优化</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对客户系统的括主机、存储设备、操作系统、提供优化服务。</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wordWrap w:val="0"/>
              <w:rPr>
                <w:rFonts w:ascii="长城楷体" w:hAnsi="微软雅黑" w:eastAsia="长城楷体" w:cs="宋体"/>
                <w:b w:val="0"/>
                <w:bCs w:val="0"/>
                <w:color w:val="333333"/>
                <w:spacing w:val="8"/>
                <w:kern w:val="0"/>
                <w:sz w:val="24"/>
                <w:szCs w:val="24"/>
              </w:rPr>
            </w:pPr>
          </w:p>
        </w:tc>
      </w:tr>
    </w:tbl>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现场值守人员可进行监控管理的内容包括：</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CPU 性能管理；</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内存使用情况管理；</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硬盘利用情况管理；</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系统进程管理；</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主机性能管理；</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实时监控主机电源、风扇的使用情况及主机机箱内部温度；</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监控主机硬盘运行状态；</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监控主机网卡、阵列卡等硬件状态；</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监控主机HA运行状况；</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主机系统文件系统管理；</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监控存储交换机设备状态、端口状态、传输速度；</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监控备份服务进程、备份情况（起止时间、是否成功、出错告警）；</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监控记录磁盘阵列、磁带库等存储硬件故障提示和告警，并及时解决故障问题；</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对存储的性能（如高速缓存、光纤通道等）进行监控。</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tbl>
      <w:tblPr>
        <w:tblStyle w:val="8"/>
        <w:tblW w:w="9641" w:type="dxa"/>
        <w:tblInd w:w="0" w:type="dxa"/>
        <w:shd w:val="clear" w:color="auto" w:fill="FFFFFF"/>
        <w:tblLayout w:type="autofit"/>
        <w:tblCellMar>
          <w:top w:w="0" w:type="dxa"/>
          <w:left w:w="0" w:type="dxa"/>
          <w:bottom w:w="0" w:type="dxa"/>
          <w:right w:w="0" w:type="dxa"/>
        </w:tblCellMar>
      </w:tblPr>
      <w:tblGrid>
        <w:gridCol w:w="784"/>
        <w:gridCol w:w="1618"/>
        <w:gridCol w:w="1691"/>
        <w:gridCol w:w="1569"/>
        <w:gridCol w:w="2694"/>
        <w:gridCol w:w="597"/>
        <w:gridCol w:w="688"/>
      </w:tblGrid>
      <w:tr>
        <w:tblPrEx>
          <w:tblCellMar>
            <w:top w:w="0" w:type="dxa"/>
            <w:left w:w="0" w:type="dxa"/>
            <w:bottom w:w="0" w:type="dxa"/>
            <w:right w:w="0" w:type="dxa"/>
          </w:tblCellMar>
        </w:tblPrEx>
        <w:tc>
          <w:tcPr>
            <w:tcW w:w="9641" w:type="dxa"/>
            <w:gridSpan w:val="7"/>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小型机系统巡检典型作业计划书</w:t>
            </w:r>
          </w:p>
        </w:tc>
      </w:tr>
      <w:tr>
        <w:tblPrEx>
          <w:tblCellMar>
            <w:top w:w="0" w:type="dxa"/>
            <w:left w:w="0" w:type="dxa"/>
            <w:bottom w:w="0" w:type="dxa"/>
            <w:right w:w="0" w:type="dxa"/>
          </w:tblCellMar>
        </w:tblPrEx>
        <w:tc>
          <w:tcPr>
            <w:tcW w:w="9641" w:type="dxa"/>
            <w:gridSpan w:val="7"/>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系统管理单位：</w:t>
            </w:r>
          </w:p>
        </w:tc>
      </w:tr>
      <w:tr>
        <w:tblPrEx>
          <w:tblCellMar>
            <w:top w:w="0" w:type="dxa"/>
            <w:left w:w="0" w:type="dxa"/>
            <w:bottom w:w="0" w:type="dxa"/>
            <w:right w:w="0" w:type="dxa"/>
          </w:tblCellMar>
        </w:tblPrEx>
        <w:tc>
          <w:tcPr>
            <w:tcW w:w="2402"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设备名：</w:t>
            </w:r>
          </w:p>
        </w:tc>
        <w:tc>
          <w:tcPr>
            <w:tcW w:w="1691"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设备型号</w:t>
            </w:r>
          </w:p>
          <w:p>
            <w:pPr>
              <w:widowControl/>
              <w:wordWrap w:val="0"/>
              <w:spacing w:line="360" w:lineRule="atLeast"/>
              <w:rPr>
                <w:rFonts w:ascii="长城楷体" w:hAnsi="微软雅黑" w:eastAsia="长城楷体" w:cs="宋体"/>
                <w:b w:val="0"/>
                <w:bCs w:val="0"/>
                <w:color w:val="FFFFFF"/>
                <w:spacing w:val="8"/>
                <w:kern w:val="0"/>
                <w:sz w:val="24"/>
                <w:szCs w:val="24"/>
              </w:rPr>
            </w:pPr>
          </w:p>
        </w:tc>
        <w:tc>
          <w:tcPr>
            <w:tcW w:w="1569"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设备序列号</w:t>
            </w:r>
          </w:p>
          <w:p>
            <w:pPr>
              <w:widowControl/>
              <w:wordWrap w:val="0"/>
              <w:spacing w:line="360" w:lineRule="atLeast"/>
              <w:rPr>
                <w:rFonts w:ascii="长城楷体" w:hAnsi="微软雅黑" w:eastAsia="长城楷体" w:cs="宋体"/>
                <w:b w:val="0"/>
                <w:bCs w:val="0"/>
                <w:color w:val="FFFFFF"/>
                <w:spacing w:val="8"/>
                <w:kern w:val="0"/>
                <w:sz w:val="24"/>
                <w:szCs w:val="24"/>
              </w:rPr>
            </w:pPr>
          </w:p>
        </w:tc>
        <w:tc>
          <w:tcPr>
            <w:tcW w:w="3979" w:type="dxa"/>
            <w:gridSpan w:val="3"/>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管理IP：</w:t>
            </w:r>
          </w:p>
        </w:tc>
      </w:tr>
      <w:tr>
        <w:tblPrEx>
          <w:tblCellMar>
            <w:top w:w="0" w:type="dxa"/>
            <w:left w:w="0" w:type="dxa"/>
            <w:bottom w:w="0" w:type="dxa"/>
            <w:right w:w="0" w:type="dxa"/>
          </w:tblCellMar>
        </w:tblPrEx>
        <w:tc>
          <w:tcPr>
            <w:tcW w:w="2402"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检查内容</w:t>
            </w:r>
          </w:p>
        </w:tc>
        <w:tc>
          <w:tcPr>
            <w:tcW w:w="1691"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参考标准</w:t>
            </w:r>
          </w:p>
        </w:tc>
        <w:tc>
          <w:tcPr>
            <w:tcW w:w="1569"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检查结果</w:t>
            </w:r>
          </w:p>
        </w:tc>
        <w:tc>
          <w:tcPr>
            <w:tcW w:w="2694"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状态是否正常</w:t>
            </w:r>
          </w:p>
        </w:tc>
        <w:tc>
          <w:tcPr>
            <w:tcW w:w="597"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巡检方法描述</w:t>
            </w:r>
          </w:p>
        </w:tc>
        <w:tc>
          <w:tcPr>
            <w:tcW w:w="688"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巡检周期</w:t>
            </w:r>
          </w:p>
        </w:tc>
      </w:tr>
      <w:tr>
        <w:tblPrEx>
          <w:shd w:val="clear" w:color="auto" w:fill="FFFFFF"/>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硬件运行状态</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电源指示灯</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面板指示灯</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内置磁带机</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CPU 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内存状态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磁盘状态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网卡状态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HBA卡运行状态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系统日志</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Mail</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文件系统，包括磁盘卷剩余空间</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硬件检测</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交换分区</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固件版本</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补丁包版本</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系统镜像</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存储磁盘</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存储驱动</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进程状态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系统性能检查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CPU利用率</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内存利用率</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rPr>
          <w:trHeight w:val="61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磁盘I/O性能</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数据库运行状态</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数据库安装目录</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数据库进程状态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集群检查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集群进程状态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rPr>
          <w:trHeight w:val="46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集群日志</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存储设备故障灯状态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SAN交换机端口状态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存储交换机环境状态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系统故障报告</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bl>
    <w:p>
      <w:pPr>
        <w:widowControl/>
        <w:shd w:val="clear" w:color="auto" w:fill="FFFFFF"/>
        <w:spacing w:line="360" w:lineRule="atLeast"/>
        <w:ind w:left="420"/>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1.5</w:t>
      </w:r>
      <w:r>
        <w:rPr>
          <w:rFonts w:ascii="长城楷体" w:hAnsi="宋体" w:eastAsia="长城楷体" w:cs="宋体"/>
          <w:color w:val="276CA3"/>
          <w:kern w:val="0"/>
          <w:sz w:val="24"/>
          <w:szCs w:val="24"/>
        </w:rPr>
        <w:t>数据库系统运维服务</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维护服务是包括主动数据库性能管理，数据库的主动性能管理对系统运维非常重要。通过主动式性能管理可了解数据库的日常运行状态，识别数据库的性能问题发生在什么地方，有针对性地进行性能优化。同时，密切注意数据库系统的变化，主动地预防可能发生的问题。</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数据库运行维护服务还包括快速发现、诊断和解决性能问题，在出现问题时，及时找出性能瓶颈，解决数据库性能问题，维护高效的应用系统。</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数据库运行维护服务，主要工作是使用技术手段来达到管理的目标，以系统最终的运行维护为目标，提高用户的工作效率。</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具体数据库运行维护监控的基本服务内容包括：</w:t>
      </w:r>
    </w:p>
    <w:tbl>
      <w:tblPr>
        <w:tblStyle w:val="8"/>
        <w:tblW w:w="9773" w:type="dxa"/>
        <w:tblInd w:w="0" w:type="dxa"/>
        <w:shd w:val="clear" w:color="auto" w:fill="FFFFFF"/>
        <w:tblLayout w:type="autofit"/>
        <w:tblCellMar>
          <w:top w:w="0" w:type="dxa"/>
          <w:left w:w="0" w:type="dxa"/>
          <w:bottom w:w="0" w:type="dxa"/>
          <w:right w:w="0" w:type="dxa"/>
        </w:tblCellMar>
      </w:tblPr>
      <w:tblGrid>
        <w:gridCol w:w="1026"/>
        <w:gridCol w:w="2305"/>
        <w:gridCol w:w="5690"/>
        <w:gridCol w:w="752"/>
      </w:tblGrid>
      <w:tr>
        <w:tblPrEx>
          <w:shd w:val="clear" w:color="auto" w:fill="FFFFFF"/>
          <w:tblCellMar>
            <w:top w:w="0" w:type="dxa"/>
            <w:left w:w="0" w:type="dxa"/>
            <w:bottom w:w="0" w:type="dxa"/>
            <w:right w:w="0" w:type="dxa"/>
          </w:tblCellMar>
        </w:tblPrEx>
        <w:trPr>
          <w:trHeight w:val="435" w:hRule="atLeast"/>
        </w:trPr>
        <w:tc>
          <w:tcPr>
            <w:tcW w:w="1026" w:type="dxa"/>
            <w:tcBorders>
              <w:top w:val="single" w:color="auto" w:sz="6" w:space="0"/>
              <w:left w:val="single" w:color="auto" w:sz="6" w:space="0"/>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序号</w:t>
            </w:r>
          </w:p>
        </w:tc>
        <w:tc>
          <w:tcPr>
            <w:tcW w:w="2305"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服务模块</w:t>
            </w:r>
          </w:p>
        </w:tc>
        <w:tc>
          <w:tcPr>
            <w:tcW w:w="5690"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内容描述</w:t>
            </w:r>
          </w:p>
        </w:tc>
        <w:tc>
          <w:tcPr>
            <w:tcW w:w="752"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提供方</w:t>
            </w:r>
          </w:p>
        </w:tc>
      </w:tr>
      <w:tr>
        <w:tblPrEx>
          <w:shd w:val="clear" w:color="auto" w:fill="FFFFFF"/>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7*24电话支持服务</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每周7天，每天24小时支持中心电话，电子邮件答询，以满足业务发展的需要。</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Oracle产品技术专家直接同客户对话，帮助解决客户提出的疑难问题。</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根据问题的严重程度，将优先解决客户认为是关键而紧急的任务。</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对客户提出的一般性问题进行技术咨询、指导。</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定期的客户管理报告, 避免问题再度发生。</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Oracle数据库产品</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现场服务响应</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数据库宕机</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数据坏块</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影响业务不能进行的产品问题</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软件产品的更新及维护。</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ind w:right="110" w:rightChars="25"/>
              <w:rPr>
                <w:rFonts w:ascii="长城楷体" w:hAnsi="微软雅黑" w:eastAsia="长城楷体" w:cs="宋体"/>
                <w:b w:val="0"/>
                <w:bCs w:val="0"/>
                <w:color w:val="333333"/>
                <w:spacing w:val="8"/>
                <w:kern w:val="0"/>
                <w:sz w:val="24"/>
                <w:szCs w:val="24"/>
              </w:rPr>
            </w:pPr>
          </w:p>
        </w:tc>
      </w:tr>
      <w:tr>
        <w:tblPrEx>
          <w:shd w:val="clear" w:color="auto" w:fill="FFFFFF"/>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Oracle数据库产品</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系统健康检查</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对系统的配置及运作框架提出建议，以帮助您得到一个更坚强可靠的运作环境</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降低系统潜在的风险，包括数据丢失、安全漏洞、系统崩溃、性能降低及资源紧张</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检查并分析系统日志及跟踪文件，发现并排除数据库系统错误隐患</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检查数据库系统是否需要应用最新的补丁集</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检查数据库空间的使用情况</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协助进行数据库空间的规划管理</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检查数据库备份的完整性</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监控数据库性能</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确认系统的资源需求</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明确您系统的能力及不足</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优化Oracle Server的表现</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通过改善系统环境的稳定性来降低潜在的系统宕机时间</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r>
        <w:tblPrEx>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Oracle数据库产品</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性能调优</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分析用户的应用类型和用户行为</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评价并修改ORACLE数据库的参数设置</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评价并调整ORACLE数据库的数据分布</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评价应用对硬件和系统的使用情况，并提出建议</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利用先进的性能调整工具实施数据库的性能调整</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培训用户有关性能调整的概念</w:t>
            </w:r>
          </w:p>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提供用户完整的性能调整报告和解决方法</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rPr>
                <w:rFonts w:ascii="长城楷体" w:hAnsi="微软雅黑" w:eastAsia="长城楷体" w:cs="宋体"/>
                <w:b w:val="0"/>
                <w:bCs w:val="0"/>
                <w:color w:val="333333"/>
                <w:spacing w:val="8"/>
                <w:kern w:val="0"/>
                <w:sz w:val="24"/>
                <w:szCs w:val="24"/>
              </w:rPr>
            </w:pPr>
          </w:p>
        </w:tc>
      </w:tr>
    </w:tbl>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1.6</w:t>
      </w:r>
      <w:r>
        <w:rPr>
          <w:rFonts w:ascii="长城楷体" w:hAnsi="宋体" w:eastAsia="长城楷体" w:cs="宋体"/>
          <w:color w:val="276CA3"/>
          <w:kern w:val="0"/>
          <w:sz w:val="24"/>
          <w:szCs w:val="24"/>
        </w:rPr>
        <w:t>中间件运维服务</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中间件管理是指对BEA Weblogic、MQ等中间件的日常维护管理和监控工作，提高对中间件平台事件的分析解决能力，确保中间件平台持续稳定运行。中间件监控指标包括配置信息管理、故障监控、性能监控。</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执行线程：监控WebLogic配置执行线程的空闲数量。</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JVM内存：JVM内存曲线正常，能够及时的进行内存空间回收。JDBC连接池：连接池的初始容量和最大容量应该设置为相等，并且至少等于执行线程的数量，以避免在运行过程中创建数据库连接所带来的性能消耗。</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检查WEBLOG日志文件是否有异常报错</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如果有WEBLOG集群配置，需要检查集群的配置是否正常。</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t>二、运维服务流程</w:t>
      </w:r>
    </w:p>
    <w:p>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7" o:spid="_x0000_s1035" o:spt="1" alt="https://mmbiz.qpic.cn/mmbiz_png/Hkpadb1dCIJ6Kf5IzkkoiaAUsab0XrmlHgIoeicVQXuC4oicZdEyIH0dMmQHmyFj6nrOK1MN9SxOjiblRAdspJiblCg/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OdR4VTAwAAbgYAAA4AAAAAAAAAAAAAAAAALgIA&#10;AGRycy9lMm9Eb2MueG1sUEsBAi0AFAAGAAgAAAAhAEyg6SzYAAAAAwEAAA8AAAAAAAAAAAAAAAAA&#10;rQUAAGRycy9kb3ducmV2LnhtbFBLBQYAAAAABAAEAPMAAACyBgAAAAA=&#10;">
            <v:path/>
            <v:fill on="f" focussize="0,0"/>
            <v:stroke on="f"/>
            <v:imagedata o:title=""/>
            <o:lock v:ext="edit" aspectratio="t"/>
            <w10:wrap type="none"/>
            <w10:anchorlock/>
          </v:rect>
        </w:pic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建议用户采用的服务方式为两种：一种为技术人员现场值守，另一种是定期巡检结合故障现场服务。</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技术人员现场值守运行维护服务的基本操作流程如下图所示：</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jc w:val="center"/>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6" o:spid="_x0000_s1034" o:spt="1" alt="https://mmbiz.qpic.cn/mmbiz_png/Hkpadb1dCIJ6Kf5IzkkoiaAUsab0XrmlHBOUxnDXUsCHLYvyBzchic4vI3TwLicLHiabicJQPf2iapSOcfZIh88ZCb9Q/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bxgfcVAMAAG8GAAAOAAAAAAAAAAAAAAAAAC4C&#10;AABkcnMvZTJvRG9jLnhtbFBLAQItABQABgAIAAAAIQBMoOks2AAAAAMBAAAPAAAAAAAAAAAAAAAA&#10;AK4FAABkcnMvZG93bnJldi54bWxQSwUGAAAAAAQABADzAAAAswYAAAAA&#10;">
            <v:path/>
            <v:fill on="f" focussize="0,0"/>
            <v:stroke on="f"/>
            <v:imagedata o:title=""/>
            <o:lock v:ext="edit" aspectratio="t"/>
            <w10:wrap type="none"/>
            <w10:anchorlock/>
          </v:rect>
        </w:pic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hint="eastAsia" w:ascii="长城楷体" w:hAnsi="微软雅黑" w:eastAsia="长城楷体" w:cs="宋体"/>
          <w:b w:val="0"/>
          <w:bCs w:val="0"/>
          <w:color w:val="333333"/>
          <w:spacing w:val="8"/>
          <w:kern w:val="0"/>
          <w:sz w:val="24"/>
          <w:szCs w:val="24"/>
        </w:rPr>
        <w:drawing>
          <wp:inline distT="0" distB="0" distL="0" distR="0">
            <wp:extent cx="2628900" cy="5457825"/>
            <wp:effectExtent l="0" t="0" r="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628900" cy="5457825"/>
                    </a:xfrm>
                    <a:prstGeom prst="rect">
                      <a:avLst/>
                    </a:prstGeom>
                  </pic:spPr>
                </pic:pic>
              </a:graphicData>
            </a:graphic>
          </wp:inline>
        </w:drawing>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定期巡检结合故障现场运行维护服务的基本操作流程如下图所示：</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5" o:spid="_x0000_s1033" o:spt="1" alt="https://mmbiz.qpic.cn/mmbiz_jpg/Hkpadb1dCIJ6Kf5IzkkoiaAUsab0XrmlHicBKhpNCiaTkgb8VQHxwUvHt1s3VHfr1JbyuFiccdZzD0iaqrwpz6mBHIg/640?wx_fmt=jpe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b/nRIVAMAAG8GAAAOAAAAAAAAAAAAAAAAAC4C&#10;AABkcnMvZTJvRG9jLnhtbFBLAQItABQABgAIAAAAIQBMoOks2AAAAAMBAAAPAAAAAAAAAAAAAAAA&#10;AK4FAABkcnMvZG93bnJldi54bWxQSwUGAAAAAAQABADzAAAAswYAAAAA&#10;">
            <v:path/>
            <v:fill on="f" focussize="0,0"/>
            <v:stroke on="f"/>
            <v:imagedata o:title=""/>
            <o:lock v:ext="edit" aspectratio="t"/>
            <w10:wrap type="none"/>
            <w10:anchorlock/>
          </v:rect>
        </w:pict>
      </w:r>
      <w:r>
        <w:rPr>
          <w:rFonts w:hint="eastAsia" w:ascii="长城楷体" w:hAnsi="微软雅黑" w:eastAsia="长城楷体" w:cs="宋体"/>
          <w:b w:val="0"/>
          <w:bCs w:val="0"/>
          <w:color w:val="333333"/>
          <w:spacing w:val="8"/>
          <w:kern w:val="0"/>
          <w:sz w:val="24"/>
          <w:szCs w:val="24"/>
        </w:rPr>
        <w:drawing>
          <wp:inline distT="0" distB="0" distL="0" distR="0">
            <wp:extent cx="5274310" cy="537718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274310" cy="5377180"/>
                    </a:xfrm>
                    <a:prstGeom prst="rect">
                      <a:avLst/>
                    </a:prstGeom>
                  </pic:spPr>
                </pic:pic>
              </a:graphicData>
            </a:graphic>
          </wp:inline>
        </w:drawing>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t>三、服务管理制度规范</w:t>
      </w:r>
    </w:p>
    <w:p>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4" o:spid="_x0000_s1032" o:spt="1" alt="data:image/gif;base64,iVBORw0KGgoAAAANSUhEUgAAAAEAAAABCAYAAAAfFcSJAAAADUlEQVQImWNgYGBgAAAABQABh6FO1AAAAABJRU5ErkJggg=="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NJAptsjAwAAMwYAAA4AAAAAAAAA&#10;AAAAAAAALgIAAGRycy9lMm9Eb2MueG1sUEsBAi0AFAAGAAgAAAAhAEyg6SzYAAAAAwEAAA8AAAAA&#10;AAAAAAAAAAAAfQUAAGRycy9kb3ducmV2LnhtbFBLBQYAAAAABAAEAPMAAACCBgAAAAA=&#10;">
            <v:path/>
            <v:fill on="f" focussize="0,0"/>
            <v:stroke on="f"/>
            <v:imagedata o:title=""/>
            <o:lock v:ext="edit" aspectratio="t"/>
            <w10:wrap type="none"/>
            <w10:anchorlock/>
          </v:rect>
        </w:pict>
      </w: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3.1</w:t>
      </w:r>
      <w:r>
        <w:rPr>
          <w:rFonts w:ascii="长城楷体" w:hAnsi="宋体" w:eastAsia="长城楷体" w:cs="宋体"/>
          <w:color w:val="276CA3"/>
          <w:kern w:val="0"/>
          <w:sz w:val="24"/>
          <w:szCs w:val="24"/>
        </w:rPr>
        <w:t>服务时间</w:t>
      </w:r>
    </w:p>
    <w:p>
      <w:pPr>
        <w:widowControl/>
        <w:ind w:firstLine="480"/>
        <w:jc w:val="left"/>
        <w:rPr>
          <w:rFonts w:ascii="长城楷体" w:hAnsi="宋体" w:eastAsia="长城楷体" w:cs="宋体"/>
          <w:b w:val="0"/>
          <w:bCs w:val="0"/>
          <w:kern w:val="0"/>
          <w:sz w:val="24"/>
          <w:szCs w:val="24"/>
        </w:rPr>
      </w:pPr>
    </w:p>
    <w:p>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(1) 接收服务请求和咨询：在5*8 小时工作时间内设置由专人职守的热线电话，接听内部的服务请求，并记录服务台事件处理结果。</w:t>
      </w:r>
    </w:p>
    <w:p>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(2) 在非工作时间设置有专人7*24 小时接听的移动电话热线，用于解决内部的技术问题以及接听7*24 小时机房监控人员的机房突发情况汇报。</w:t>
      </w:r>
    </w:p>
    <w:p>
      <w:pPr>
        <w:widowControl/>
        <w:ind w:firstLine="480"/>
        <w:jc w:val="left"/>
        <w:rPr>
          <w:rFonts w:ascii="长城楷体" w:hAnsi="宋体" w:eastAsia="长城楷体" w:cs="宋体"/>
          <w:b w:val="0"/>
          <w:bCs w:val="0"/>
          <w:kern w:val="0"/>
          <w:sz w:val="23"/>
          <w:szCs w:val="23"/>
        </w:rPr>
      </w:pPr>
      <w:r>
        <w:rPr>
          <w:rFonts w:hint="eastAsia" w:ascii="长城楷体" w:hAnsi="宋体" w:eastAsia="长城楷体" w:cs="宋体"/>
          <w:b w:val="0"/>
          <w:bCs w:val="0"/>
          <w:kern w:val="0"/>
          <w:sz w:val="23"/>
          <w:szCs w:val="23"/>
        </w:rPr>
        <w:t>(3) 服务响应时间：</w:t>
      </w:r>
    </w:p>
    <w:p>
      <w:pPr>
        <w:widowControl/>
        <w:ind w:firstLine="480"/>
        <w:jc w:val="left"/>
        <w:rPr>
          <w:rFonts w:ascii="长城楷体" w:hAnsi="宋体" w:eastAsia="长城楷体" w:cs="宋体"/>
          <w:b w:val="0"/>
          <w:bCs w:val="0"/>
          <w:kern w:val="0"/>
          <w:sz w:val="24"/>
          <w:szCs w:val="24"/>
        </w:rPr>
      </w:pPr>
    </w:p>
    <w:p>
      <w:pPr>
        <w:widowControl/>
        <w:jc w:val="left"/>
        <w:rPr>
          <w:rFonts w:ascii="长城楷体" w:hAnsi="宋体" w:eastAsia="长城楷体" w:cs="宋体"/>
          <w:b w:val="0"/>
          <w:bCs w:val="0"/>
          <w:kern w:val="0"/>
          <w:sz w:val="24"/>
          <w:szCs w:val="24"/>
        </w:rPr>
      </w:pPr>
    </w:p>
    <w:tbl>
      <w:tblPr>
        <w:tblStyle w:val="8"/>
        <w:tblW w:w="9631" w:type="dxa"/>
        <w:tblInd w:w="0" w:type="dxa"/>
        <w:shd w:val="clear" w:color="auto" w:fill="FFFFFF"/>
        <w:tblLayout w:type="autofit"/>
        <w:tblCellMar>
          <w:top w:w="0" w:type="dxa"/>
          <w:left w:w="0" w:type="dxa"/>
          <w:bottom w:w="0" w:type="dxa"/>
          <w:right w:w="0" w:type="dxa"/>
        </w:tblCellMar>
      </w:tblPr>
      <w:tblGrid>
        <w:gridCol w:w="5354"/>
        <w:gridCol w:w="2515"/>
        <w:gridCol w:w="1762"/>
      </w:tblGrid>
      <w:tr>
        <w:tblPrEx>
          <w:shd w:val="clear" w:color="auto" w:fill="FFFFFF"/>
          <w:tblCellMar>
            <w:top w:w="0" w:type="dxa"/>
            <w:left w:w="0" w:type="dxa"/>
            <w:bottom w:w="0" w:type="dxa"/>
            <w:right w:w="0" w:type="dxa"/>
          </w:tblCellMar>
        </w:tblPrEx>
        <w:trPr>
          <w:trHeight w:val="315" w:hRule="atLeast"/>
        </w:trPr>
        <w:tc>
          <w:tcPr>
            <w:tcW w:w="5354" w:type="dxa"/>
            <w:tcBorders>
              <w:top w:val="single" w:color="auto" w:sz="6" w:space="0"/>
              <w:left w:val="single" w:color="auto" w:sz="6" w:space="0"/>
              <w:bottom w:val="single" w:color="auto" w:sz="6" w:space="0"/>
              <w:right w:val="single" w:color="auto" w:sz="6" w:space="0"/>
            </w:tcBorders>
            <w:shd w:val="clear" w:color="auto" w:fill="7F7F7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故障级别</w:t>
            </w:r>
          </w:p>
        </w:tc>
        <w:tc>
          <w:tcPr>
            <w:tcW w:w="2515" w:type="dxa"/>
            <w:tcBorders>
              <w:top w:val="single" w:color="auto" w:sz="6" w:space="0"/>
              <w:left w:val="nil"/>
              <w:bottom w:val="single" w:color="auto" w:sz="6" w:space="0"/>
              <w:right w:val="single" w:color="auto" w:sz="6" w:space="0"/>
            </w:tcBorders>
            <w:shd w:val="clear" w:color="auto" w:fill="7F7F7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响应时间</w:t>
            </w:r>
          </w:p>
        </w:tc>
        <w:tc>
          <w:tcPr>
            <w:tcW w:w="1762" w:type="dxa"/>
            <w:tcBorders>
              <w:top w:val="single" w:color="auto" w:sz="6" w:space="0"/>
              <w:left w:val="nil"/>
              <w:bottom w:val="single" w:color="auto" w:sz="6" w:space="0"/>
              <w:right w:val="single" w:color="auto" w:sz="6" w:space="0"/>
            </w:tcBorders>
            <w:shd w:val="clear" w:color="auto" w:fill="7F7F7F"/>
            <w:tcMar>
              <w:top w:w="0" w:type="dxa"/>
              <w:left w:w="105" w:type="dxa"/>
              <w:bottom w:w="0" w:type="dxa"/>
              <w:right w:w="105" w:type="dxa"/>
            </w:tcMa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故障解决时间</w:t>
            </w:r>
          </w:p>
        </w:tc>
      </w:tr>
      <w:tr>
        <w:tblPrEx>
          <w:tblCellMar>
            <w:top w:w="0" w:type="dxa"/>
            <w:left w:w="0" w:type="dxa"/>
            <w:bottom w:w="0" w:type="dxa"/>
            <w:right w:w="0" w:type="dxa"/>
          </w:tblCellMar>
        </w:tblPrEx>
        <w:trPr>
          <w:trHeight w:val="705"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I级：</w:t>
            </w:r>
            <w:r>
              <w:rPr>
                <w:rFonts w:hint="eastAsia" w:ascii="长城楷体" w:hAnsi="宋体" w:eastAsia="长城楷体" w:cs="宋体"/>
                <w:b w:val="0"/>
                <w:bCs w:val="0"/>
                <w:color w:val="333333"/>
                <w:spacing w:val="8"/>
                <w:kern w:val="0"/>
                <w:sz w:val="23"/>
                <w:szCs w:val="23"/>
              </w:rPr>
              <w:t>属于紧急问题；其具体现象为：系统崩溃导致业务停止、数据丢失。</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12小时以内</w:t>
            </w:r>
          </w:p>
        </w:tc>
      </w:tr>
      <w:tr>
        <w:tblPrEx>
          <w:shd w:val="clear" w:color="auto" w:fill="FFFFFF"/>
          <w:tblCellMar>
            <w:top w:w="0" w:type="dxa"/>
            <w:left w:w="0" w:type="dxa"/>
            <w:bottom w:w="0" w:type="dxa"/>
            <w:right w:w="0" w:type="dxa"/>
          </w:tblCellMar>
        </w:tblPrEx>
        <w:trPr>
          <w:trHeight w:val="945"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II级：</w:t>
            </w:r>
            <w:r>
              <w:rPr>
                <w:rFonts w:hint="eastAsia" w:ascii="长城楷体" w:hAnsi="宋体" w:eastAsia="长城楷体" w:cs="宋体"/>
                <w:b w:val="0"/>
                <w:bCs w:val="0"/>
                <w:color w:val="333333"/>
                <w:spacing w:val="8"/>
                <w:kern w:val="0"/>
                <w:sz w:val="23"/>
                <w:szCs w:val="23"/>
              </w:rPr>
              <w:t>属于严重问题；其具体现象为：出现部分部件失效、系统性能下降但能正常运行，不影响正常业务运作。</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24小时以内</w:t>
            </w:r>
          </w:p>
        </w:tc>
      </w:tr>
      <w:tr>
        <w:tblPrEx>
          <w:shd w:val="clear" w:color="auto" w:fill="FFFFFF"/>
          <w:tblCellMar>
            <w:top w:w="0" w:type="dxa"/>
            <w:left w:w="0" w:type="dxa"/>
            <w:bottom w:w="0" w:type="dxa"/>
            <w:right w:w="0" w:type="dxa"/>
          </w:tblCellMar>
        </w:tblPrEx>
        <w:trPr>
          <w:trHeight w:val="915"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III级：</w:t>
            </w:r>
            <w:r>
              <w:rPr>
                <w:rFonts w:hint="eastAsia" w:ascii="长城楷体" w:hAnsi="宋体" w:eastAsia="长城楷体" w:cs="宋体"/>
                <w:b w:val="0"/>
                <w:bCs w:val="0"/>
                <w:color w:val="333333"/>
                <w:spacing w:val="8"/>
                <w:kern w:val="0"/>
                <w:sz w:val="23"/>
                <w:szCs w:val="23"/>
              </w:rPr>
              <w:t>属于较严重问题；其具体现象为：出现系统报错或警告，但业务系统能继续运行且性能不受影响。</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48小时以内</w:t>
            </w:r>
          </w:p>
        </w:tc>
      </w:tr>
      <w:tr>
        <w:tblPrEx>
          <w:tblCellMar>
            <w:top w:w="0" w:type="dxa"/>
            <w:left w:w="0" w:type="dxa"/>
            <w:bottom w:w="0" w:type="dxa"/>
            <w:right w:w="0" w:type="dxa"/>
          </w:tblCellMar>
        </w:tblPrEx>
        <w:trPr>
          <w:trHeight w:val="300"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IV级：</w:t>
            </w:r>
            <w:r>
              <w:rPr>
                <w:rFonts w:hint="eastAsia" w:ascii="长城楷体" w:hAnsi="宋体" w:eastAsia="长城楷体" w:cs="宋体"/>
                <w:b w:val="0"/>
                <w:bCs w:val="0"/>
                <w:color w:val="333333"/>
                <w:spacing w:val="8"/>
                <w:kern w:val="0"/>
                <w:sz w:val="23"/>
                <w:szCs w:val="23"/>
              </w:rPr>
              <w:t>属于普通问题；其具体现象为：系统技术功能、安装或配置咨询，或其他显然不影响业务的预约服务。</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5天内</w:t>
            </w:r>
          </w:p>
        </w:tc>
      </w:tr>
    </w:tbl>
    <w:p>
      <w:pPr>
        <w:widowControl/>
        <w:shd w:val="clear" w:color="auto" w:fill="FFFFFF"/>
        <w:ind w:firstLine="480"/>
        <w:rPr>
          <w:rFonts w:ascii="长城楷体" w:hAnsi="微软雅黑" w:eastAsia="长城楷体" w:cs="宋体"/>
          <w:b w:val="0"/>
          <w:bCs w:val="0"/>
          <w:color w:val="333333"/>
          <w:spacing w:val="8"/>
          <w:kern w:val="0"/>
          <w:sz w:val="24"/>
          <w:szCs w:val="24"/>
        </w:rPr>
      </w:pPr>
    </w:p>
    <w:p>
      <w:pPr>
        <w:widowControl/>
        <w:shd w:val="clear" w:color="auto" w:fill="FFFFFF"/>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技术支持人员在解决故障时，会最大限度保护好数据，做好故障恢复的文档，力争恢复到故障点前的业务状态。</w:t>
      </w:r>
    </w:p>
    <w:p>
      <w:pPr>
        <w:widowControl/>
        <w:shd w:val="clear" w:color="auto" w:fill="FFFFFF"/>
        <w:ind w:firstLine="480"/>
        <w:rPr>
          <w:rFonts w:ascii="长城楷体" w:hAnsi="微软雅黑" w:eastAsia="长城楷体" w:cs="宋体"/>
          <w:b w:val="0"/>
          <w:bCs w:val="0"/>
          <w:color w:val="333333"/>
          <w:spacing w:val="8"/>
          <w:kern w:val="0"/>
          <w:sz w:val="24"/>
          <w:szCs w:val="24"/>
        </w:rPr>
      </w:pPr>
    </w:p>
    <w:p>
      <w:pPr>
        <w:widowControl/>
        <w:shd w:val="clear" w:color="auto" w:fill="FFFFFF"/>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于“系统瘫痪，业务系统不能运转”的故障级别，如果不能于12小时内解决故障，将在16小时内提出应急方案，确保业务系统的运行。故障解决后24小时内，提交故障处理报告。说明故障种类、故障原因、故障解决中使用的方法及故障损失等情况。</w:t>
      </w:r>
    </w:p>
    <w:p>
      <w:pPr>
        <w:widowControl/>
        <w:shd w:val="clear" w:color="auto" w:fill="FFFFFF"/>
        <w:ind w:firstLine="480"/>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3.2</w:t>
      </w:r>
      <w:r>
        <w:rPr>
          <w:rFonts w:ascii="长城楷体" w:hAnsi="宋体" w:eastAsia="长城楷体" w:cs="宋体"/>
          <w:color w:val="276CA3"/>
          <w:kern w:val="0"/>
          <w:sz w:val="24"/>
          <w:szCs w:val="24"/>
        </w:rPr>
        <w:t>行为规范</w:t>
      </w:r>
    </w:p>
    <w:p>
      <w:pPr>
        <w:widowControl/>
        <w:jc w:val="left"/>
        <w:rPr>
          <w:rFonts w:ascii="长城楷体" w:hAnsi="宋体" w:eastAsia="长城楷体" w:cs="宋体"/>
          <w:b w:val="0"/>
          <w:bCs w:val="0"/>
          <w:kern w:val="0"/>
          <w:sz w:val="24"/>
          <w:szCs w:val="24"/>
        </w:rPr>
      </w:pPr>
    </w:p>
    <w:p>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(1) 遵守用户的各项规章制度，严格按照用户相应的规章制度办事。</w:t>
      </w:r>
    </w:p>
    <w:p>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(2) 与用户运行维护体系其他部门和环节协同工作，密切配合，共同开展技术支持工作。</w:t>
      </w:r>
    </w:p>
    <w:p>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(3) 出现疑难技术、业务问题和重大紧急情况时，及时向负责人报告。</w:t>
      </w:r>
    </w:p>
    <w:p>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(4) 现场技术支持时要精神饱满，穿着得体，谈吐文明，举止庄重。接听电话时要文明礼貌，语言清晰明了，语气和善。</w:t>
      </w:r>
    </w:p>
    <w:p>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(5) 遵守保密原则。对被支持单位的网络、主机、系统软件、应用软件等的密码、核心参数、业务数据等负有保密责任，不得随意复制和传播。</w:t>
      </w:r>
    </w:p>
    <w:p>
      <w:pPr>
        <w:widowControl/>
        <w:shd w:val="clear" w:color="auto" w:fill="FFFFFF"/>
        <w:spacing w:line="360" w:lineRule="atLeast"/>
        <w:ind w:left="900"/>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3.3</w:t>
      </w:r>
      <w:r>
        <w:rPr>
          <w:rFonts w:ascii="长城楷体" w:hAnsi="宋体" w:eastAsia="长城楷体" w:cs="宋体"/>
          <w:color w:val="276CA3"/>
          <w:kern w:val="0"/>
          <w:sz w:val="24"/>
          <w:szCs w:val="24"/>
        </w:rPr>
        <w:t>现场服务支持规范</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运维服务人员要做到耐心、细心、热心的服务。工作要做到事事有记录、事事有反馈、重大问题及时汇报。严格遵守工作作息时间，严格按照服务工作流程操作。</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 现场支持工程师应着装整洁、言行礼貌大方，技术专业，操作熟练、严谨、规范；现场支持时必须遵守用户单位的相关规章制度。</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 现场支持工程师在进行现场支持工作时必须在保证数据和系统安全的前提下开展工作。</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 现场支持时出现暂时无法解决的故障或其他新的故障时，应告知用户并及时上报负责人，寻找其他解决途径。</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 故障解决后，现场支持工程师要详细记录问题的发生时间、地点、提出人和问题描述，并形成书面文档，必要时应向用户介绍故障出现的原因及预防方法和解决技巧。</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3.4</w:t>
      </w:r>
      <w:r>
        <w:rPr>
          <w:rFonts w:ascii="长城楷体" w:hAnsi="宋体" w:eastAsia="长城楷体" w:cs="宋体"/>
          <w:color w:val="276CA3"/>
          <w:kern w:val="0"/>
          <w:sz w:val="24"/>
          <w:szCs w:val="24"/>
        </w:rPr>
        <w:t>问题记录规范</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根据使用人员提出问题的类别，将问题分为咨询类问题和系统缺陷类问题二类：咨询类问题是指通过服务热线或现场解疑等方式能够当场解决用户提出的问题，具有问题解答直接、快速和实时的特点，该问题到现场支持人员处即可中止，对于该类问题的记录可使用咨询类问题记录模版进行记录。系统缺陷类问题是指使用人员提出的问题涉及到系统相应环节的确认修改，需要经过逐级提交、诊断、确认、处理和回复等环节，处理解决需要项目组的分析确认，问题有解决方案后，将解决方案反馈给用户。具体提交流程如下：</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 问题提交。应用信息系统的用户发现属于系统缺陷类的问题时，填写系统缺陷类问题提交单，提交服务支持中心。</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 问题分析。服务中心接到用户提交的问题单，要组织相应人员对问题单中描述的问题进行分析研判，确定问题的类型(技术问题、业务问题或者操作问题)。</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属于技术问题，提交服务中心技术人员对存在的问题提出具体的处理意见和建议；属于业务问题，提交服务中心业务人员进行处理；属于操作问题，可安排相关人员对问题提出人进行解释，并将系统缺陷类问题提交单转为系统咨询类问题提交单。</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 问题确认、解决。服务中心的技术人员和业务人员收到系统缺陷类问题提交单后，对提交的问题进行归类汇总和分析、确认。</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可以解决的，明确问题解决的具体处理建议和措施，经主管领导签字同意后，交实施人员进行解决方案的实施。服务人员确认是否解决，并将解决方法附在系统缺陷类问题提交单上反馈给问题提出人员。</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 问题上报。服务人员收到经业务或技术人员确认的系统缺陷类问题提交单后，上报服务中心。</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 问题回复。服务中心根据提交问题的进行分析，制定解决方案并进行实施的解决，同时做好变更记录。将解决方案汇总后及时向问题提交单位或问题交办单位作出回复，并将分析过程和问题产生原因一并提交。</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t>四、应急服务响应措施</w:t>
      </w:r>
    </w:p>
    <w:p>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3" o:spid="_x0000_s1031" o:spt="1" alt="https://mmbiz.qpic.cn/mmbiz_png/Hkpadb1dCIJ6Kf5IzkkoiaAUsab0XrmlHgIoeicVQXuC4oicZdEyIH0dMmQHmyFj6nrOK1MN9SxOjiblRAdspJiblCg/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yqINxTAwAAbgYAAA4AAAAAAAAAAAAAAAAALgIA&#10;AGRycy9lMm9Eb2MueG1sUEsBAi0AFAAGAAgAAAAhAEyg6SzYAAAAAwEAAA8AAAAAAAAAAAAAAAAA&#10;rQUAAGRycy9kb3ducmV2LnhtbFBLBQYAAAAABAAEAPMAAACyBgAAAAA=&#10;">
            <v:path/>
            <v:fill on="f" focussize="0,0"/>
            <v:stroke on="f"/>
            <v:imagedata o:title=""/>
            <o:lock v:ext="edit" aspectratio="t"/>
            <w10:wrap type="none"/>
            <w10:anchorlock/>
          </v:rect>
        </w:pic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针对项目制定了详尽的设计、应急处理预案，整个流程严谨而有序。但是，在服务维护过程中，意外情况将难以完全避免。</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下面，我们将对项目实施的突发风险进行详细分析，并且针对各类突发事件，设计了相应的预防与解决措施，同时提供了完整的应急处理流程。</w:t>
      </w: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4.1</w:t>
      </w:r>
      <w:r>
        <w:rPr>
          <w:rFonts w:ascii="长城楷体" w:hAnsi="宋体" w:eastAsia="长城楷体" w:cs="宋体"/>
          <w:color w:val="276CA3"/>
          <w:kern w:val="0"/>
          <w:sz w:val="24"/>
          <w:szCs w:val="24"/>
        </w:rPr>
        <w:t>应急基本流程</w:t>
      </w:r>
    </w:p>
    <w:p>
      <w:pPr>
        <w:widowControl/>
        <w:shd w:val="clear" w:color="auto" w:fill="FFFFFF"/>
        <w:spacing w:line="360" w:lineRule="atLeast"/>
        <w:jc w:val="center"/>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10" o:spid="_x0000_s1028" o:spt="1" alt="https://mmbiz.qpic.cn/mmbiz_png/Hkpadb1dCIJ6Kf5IzkkoiaAUsab0XrmlHnMZFBk7ALdAb6NNia3mzRPlNib1q3iactOFI8o9lCpZDSRSeM97moXMRA/640?wx_fmt=png&amp;tp=webp&amp;wxfrom=5&amp;wx_lazy=1" style="position:absolute;left:0pt;margin-left:0pt;margin-top:0pt;height:9.6pt;width:9.6pt;mso-position-horizontal-relative:char;mso-position-vertical-relative:li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">
            <v:path/>
            <v:fill on="f" focussize="0,0"/>
            <v:stroke on="f"/>
            <v:imagedata o:title=""/>
            <o:lock v:ext="edit" aspectratio="t"/>
            <w10:anchorlock/>
          </v:rect>
        </w:pict>
      </w:r>
      <w:r>
        <w:rPr>
          <w:rFonts w:ascii="长城楷体" w:hAnsi="微软雅黑" w:eastAsia="长城楷体" w:cs="宋体"/>
          <w:b w:val="0"/>
          <w:bCs w:val="0"/>
          <w:color w:val="333333"/>
          <w:spacing w:val="8"/>
          <w:kern w:val="0"/>
          <w:sz w:val="24"/>
          <w:szCs w:val="24"/>
        </w:rPr>
        <w:pict>
          <v:rect id="矩形 2" o:spid="_x0000_s1030" o:spt="1" alt="https://mmbiz.qpic.cn/mmbiz_png/Hkpadb1dCIJ6Kf5IzkkoiaAUsab0XrmlHnMZFBk7ALdAb6NNia3mzRPlNib1q3iactOFI8o9lCpZDSRSeM97moXMRA/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sE2RDFUDAAB4BgAADgAAAAAAAAAAAAAAAAAu&#10;AgAAZHJzL2Uyb0RvYy54bWxQSwECLQAUAAYACAAAACEATKDpLNgAAAADAQAADwAAAAAAAAAAAAAA&#10;AACvBQAAZHJzL2Rvd25yZXYueG1sUEsFBgAAAAAEAAQA8wAAALQGAAAAAA==&#10;">
            <v:path/>
            <v:fill on="f" focussize="0,0"/>
            <v:stroke on="f"/>
            <v:imagedata o:title=""/>
            <o:lock v:ext="edit" aspectratio="t"/>
            <v:textbox>
              <w:txbxContent>
                <w:p>
                  <w:pPr>
                    <w:jc w:val="center"/>
                  </w:pPr>
                  <w:r>
                    <w:drawing>
                      <wp:inline distT="0" distB="0" distL="0" distR="0">
                        <wp:extent cx="121920" cy="146050"/>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1920" cy="146050"/>
                                </a:xfrm>
                                <a:prstGeom prst="rect">
                                  <a:avLst/>
                                </a:prstGeom>
                              </pic:spPr>
                            </pic:pic>
                          </a:graphicData>
                        </a:graphic>
                      </wp:inline>
                    </w:drawing>
                  </w:r>
                </w:p>
              </w:txbxContent>
            </v:textbox>
            <w10:wrap type="none"/>
            <w10:anchorlock/>
          </v:rect>
        </w:pict>
      </w:r>
      <w:r>
        <w:rPr>
          <w:rFonts w:ascii="长城楷体" w:hAnsi="微软雅黑" w:eastAsia="长城楷体" w:cs="宋体"/>
          <w:b w:val="0"/>
          <w:bCs w:val="0"/>
          <w:color w:val="333333"/>
          <w:spacing w:val="8"/>
          <w:kern w:val="0"/>
          <w:sz w:val="24"/>
          <w:szCs w:val="24"/>
        </w:rPr>
        <w:drawing>
          <wp:inline distT="0" distB="0" distL="0" distR="0">
            <wp:extent cx="3352800" cy="401002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352800" cy="4010025"/>
                    </a:xfrm>
                    <a:prstGeom prst="rect">
                      <a:avLst/>
                    </a:prstGeom>
                  </pic:spPr>
                </pic:pic>
              </a:graphicData>
            </a:graphic>
          </wp:inline>
        </w:drawing>
      </w:r>
    </w:p>
    <w:p>
      <w:pPr>
        <w:widowControl/>
        <w:shd w:val="clear" w:color="auto" w:fill="FFFFFF"/>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维护服务应急处理流程</w:t>
      </w: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4.2</w:t>
      </w:r>
      <w:r>
        <w:rPr>
          <w:rFonts w:ascii="长城楷体" w:hAnsi="宋体" w:eastAsia="长城楷体" w:cs="宋体"/>
          <w:color w:val="276CA3"/>
          <w:kern w:val="0"/>
          <w:sz w:val="24"/>
          <w:szCs w:val="24"/>
        </w:rPr>
        <w:t>预防措施</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针对上门服务过程中可能遇到的各种各样的风险，针对一些可能出现的情况，制定了一系列预防处理措施，举例如下：</w:t>
      </w:r>
    </w:p>
    <w:tbl>
      <w:tblPr>
        <w:tblStyle w:val="8"/>
        <w:tblW w:w="9773" w:type="dxa"/>
        <w:tblInd w:w="0" w:type="dxa"/>
        <w:shd w:val="clear" w:color="auto" w:fill="FFFFFF"/>
        <w:tblLayout w:type="autofit"/>
        <w:tblCellMar>
          <w:top w:w="0" w:type="dxa"/>
          <w:left w:w="0" w:type="dxa"/>
          <w:bottom w:w="0" w:type="dxa"/>
          <w:right w:w="0" w:type="dxa"/>
        </w:tblCellMar>
      </w:tblPr>
      <w:tblGrid>
        <w:gridCol w:w="1481"/>
        <w:gridCol w:w="2962"/>
        <w:gridCol w:w="2962"/>
        <w:gridCol w:w="2368"/>
      </w:tblGrid>
      <w:tr>
        <w:tblPrEx>
          <w:tblCellMar>
            <w:top w:w="0" w:type="dxa"/>
            <w:left w:w="0" w:type="dxa"/>
            <w:bottom w:w="0" w:type="dxa"/>
            <w:right w:w="0" w:type="dxa"/>
          </w:tblCellMar>
        </w:tblPrEx>
        <w:trPr>
          <w:trHeight w:val="480" w:hRule="atLeast"/>
        </w:trPr>
        <w:tc>
          <w:tcPr>
            <w:tcW w:w="1481" w:type="dxa"/>
            <w:tcBorders>
              <w:top w:val="double" w:color="auto" w:sz="2" w:space="0"/>
              <w:left w:val="double" w:color="auto" w:sz="2"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类型</w:t>
            </w:r>
          </w:p>
        </w:tc>
        <w:tc>
          <w:tcPr>
            <w:tcW w:w="2962" w:type="dxa"/>
            <w:tcBorders>
              <w:top w:val="double" w:color="auto" w:sz="2" w:space="0"/>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事件</w:t>
            </w:r>
          </w:p>
        </w:tc>
        <w:tc>
          <w:tcPr>
            <w:tcW w:w="2962" w:type="dxa"/>
            <w:tcBorders>
              <w:top w:val="double" w:color="auto" w:sz="2" w:space="0"/>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预防措施</w:t>
            </w:r>
          </w:p>
        </w:tc>
        <w:tc>
          <w:tcPr>
            <w:tcW w:w="2368" w:type="dxa"/>
            <w:tcBorders>
              <w:top w:val="double" w:color="auto" w:sz="2" w:space="0"/>
              <w:left w:val="single" w:color="auto" w:sz="6" w:space="0"/>
              <w:bottom w:val="single" w:color="auto" w:sz="6" w:space="0"/>
              <w:right w:val="double" w:color="auto" w:sz="2"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处理</w:t>
            </w:r>
          </w:p>
        </w:tc>
      </w:tr>
      <w:tr>
        <w:tblPrEx>
          <w:shd w:val="clear" w:color="auto" w:fill="FFFFFF"/>
          <w:tblCellMar>
            <w:top w:w="0" w:type="dxa"/>
            <w:left w:w="0" w:type="dxa"/>
            <w:bottom w:w="0" w:type="dxa"/>
            <w:right w:w="0" w:type="dxa"/>
          </w:tblCellMar>
        </w:tblPrEx>
        <w:trPr>
          <w:trHeight w:val="465" w:hRule="atLeast"/>
        </w:trPr>
        <w:tc>
          <w:tcPr>
            <w:tcW w:w="1481" w:type="dxa"/>
            <w:vMerge w:val="restart"/>
            <w:tcBorders>
              <w:top w:val="nil"/>
              <w:left w:val="double" w:color="auto" w:sz="2"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应用软件</w:t>
            </w:r>
          </w:p>
        </w:tc>
        <w:tc>
          <w:tcPr>
            <w:tcW w:w="2962"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无法启动软件可执行文件</w:t>
            </w:r>
          </w:p>
        </w:tc>
        <w:tc>
          <w:tcPr>
            <w:tcW w:w="2962"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上门人员提前准备好各类需维护软件安装程序</w:t>
            </w:r>
          </w:p>
        </w:tc>
        <w:tc>
          <w:tcPr>
            <w:tcW w:w="2368" w:type="dxa"/>
            <w:tcBorders>
              <w:top w:val="nil"/>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将应用软件数据文件备份后，重新安装</w:t>
            </w:r>
          </w:p>
        </w:tc>
      </w:tr>
      <w:tr>
        <w:tblPrEx>
          <w:tblCellMar>
            <w:top w:w="0" w:type="dxa"/>
            <w:left w:w="0" w:type="dxa"/>
            <w:bottom w:w="0" w:type="dxa"/>
            <w:right w:w="0" w:type="dxa"/>
          </w:tblCellMar>
        </w:tblPrEx>
        <w:trPr>
          <w:trHeight w:val="690" w:hRule="atLeast"/>
        </w:trPr>
        <w:tc>
          <w:tcPr>
            <w:tcW w:w="0" w:type="auto"/>
            <w:vMerge w:val="continue"/>
            <w:tcBorders>
              <w:top w:val="nil"/>
              <w:left w:val="double" w:color="auto" w:sz="2"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软件打开过程中或运行中异常错误关闭</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上门人员准备好安装程序，操作系统优化和修补软件，查杀病毒软件</w:t>
            </w:r>
          </w:p>
        </w:tc>
        <w:tc>
          <w:tcPr>
            <w:tcW w:w="2368" w:type="dxa"/>
            <w:tcBorders>
              <w:top w:val="single" w:color="auto" w:sz="6" w:space="0"/>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判断出错原因，备份数据，采取相关修复措施</w:t>
            </w:r>
          </w:p>
        </w:tc>
      </w:tr>
      <w:tr>
        <w:tblPrEx>
          <w:shd w:val="clear" w:color="auto" w:fill="FFFFFF"/>
          <w:tblCellMar>
            <w:top w:w="0" w:type="dxa"/>
            <w:left w:w="0" w:type="dxa"/>
            <w:bottom w:w="0" w:type="dxa"/>
            <w:right w:w="0" w:type="dxa"/>
          </w:tblCellMar>
        </w:tblPrEx>
        <w:trPr>
          <w:trHeight w:val="105" w:hRule="atLeast"/>
        </w:trPr>
        <w:tc>
          <w:tcPr>
            <w:tcW w:w="1481" w:type="dxa"/>
            <w:vMerge w:val="restart"/>
            <w:tcBorders>
              <w:top w:val="single" w:color="auto" w:sz="6" w:space="0"/>
              <w:left w:val="double" w:color="auto" w:sz="2"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操作系统</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使用者本机操作系统异常或系统资源占用严重</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准备好系统检查程序及修补程序，以及查杀病毒软件</w:t>
            </w:r>
          </w:p>
        </w:tc>
        <w:tc>
          <w:tcPr>
            <w:tcW w:w="2368" w:type="dxa"/>
            <w:tcBorders>
              <w:top w:val="single" w:color="auto" w:sz="6" w:space="0"/>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告知使用者错误原因可能类型，提出解决方案，经使用者认可后采取相应措施</w:t>
            </w:r>
          </w:p>
        </w:tc>
      </w:tr>
      <w:tr>
        <w:tblPrEx>
          <w:tblCellMar>
            <w:top w:w="0" w:type="dxa"/>
            <w:left w:w="0" w:type="dxa"/>
            <w:bottom w:w="0" w:type="dxa"/>
            <w:right w:w="0" w:type="dxa"/>
          </w:tblCellMar>
        </w:tblPrEx>
        <w:trPr>
          <w:trHeight w:val="105" w:hRule="atLeast"/>
        </w:trPr>
        <w:tc>
          <w:tcPr>
            <w:tcW w:w="0" w:type="auto"/>
            <w:vMerge w:val="continue"/>
            <w:tcBorders>
              <w:top w:val="single" w:color="auto" w:sz="6" w:space="0"/>
              <w:left w:val="double" w:color="auto" w:sz="2" w:space="0"/>
              <w:bottom w:val="single" w:color="auto" w:sz="6" w:space="0"/>
              <w:right w:val="single" w:color="auto" w:sz="6" w:space="0"/>
            </w:tcBorders>
            <w:shd w:val="clear" w:color="auto" w:fill="FFFFFF"/>
            <w:vAlign w:val="center"/>
          </w:tcPr>
          <w:p>
            <w:pPr>
              <w:widowControl/>
              <w:rPr>
                <w:rFonts w:ascii="长城楷体" w:hAnsi="微软雅黑" w:eastAsia="长城楷体" w:cs="宋体"/>
                <w:b w:val="0"/>
                <w:bCs w:val="0"/>
                <w:color w:val="333333"/>
                <w:spacing w:val="8"/>
                <w:kern w:val="0"/>
                <w:sz w:val="24"/>
                <w:szCs w:val="24"/>
              </w:rPr>
            </w:pP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B/S结构系统，IE浏览器异常或无法下载控件</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准备流氓软件清理程序、修复浏览器软件、查杀病毒软件</w:t>
            </w:r>
          </w:p>
        </w:tc>
        <w:tc>
          <w:tcPr>
            <w:tcW w:w="2368" w:type="dxa"/>
            <w:tcBorders>
              <w:top w:val="single" w:color="auto" w:sz="6" w:space="0"/>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检查IE浏览器选项设置，分析原因进行修复</w:t>
            </w:r>
          </w:p>
        </w:tc>
      </w:tr>
      <w:tr>
        <w:tblPrEx>
          <w:tblCellMar>
            <w:top w:w="0" w:type="dxa"/>
            <w:left w:w="0" w:type="dxa"/>
            <w:bottom w:w="0" w:type="dxa"/>
            <w:right w:w="0" w:type="dxa"/>
          </w:tblCellMar>
        </w:tblPrEx>
        <w:trPr>
          <w:trHeight w:val="540" w:hRule="atLeast"/>
        </w:trPr>
        <w:tc>
          <w:tcPr>
            <w:tcW w:w="1481" w:type="dxa"/>
            <w:tcBorders>
              <w:top w:val="single" w:color="auto" w:sz="6" w:space="0"/>
              <w:left w:val="double" w:color="auto" w:sz="2" w:space="0"/>
              <w:bottom w:val="double" w:color="auto" w:sz="2"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网络或服务器</w:t>
            </w:r>
          </w:p>
        </w:tc>
        <w:tc>
          <w:tcPr>
            <w:tcW w:w="2962" w:type="dxa"/>
            <w:tcBorders>
              <w:top w:val="single" w:color="auto" w:sz="6" w:space="0"/>
              <w:left w:val="single" w:color="auto" w:sz="6" w:space="0"/>
              <w:bottom w:val="double" w:color="auto" w:sz="2"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B/S结构系统网络流量异常或服务器登录异常</w:t>
            </w:r>
          </w:p>
        </w:tc>
        <w:tc>
          <w:tcPr>
            <w:tcW w:w="2962" w:type="dxa"/>
            <w:tcBorders>
              <w:top w:val="single" w:color="auto" w:sz="6" w:space="0"/>
              <w:left w:val="single" w:color="auto" w:sz="6" w:space="0"/>
              <w:bottom w:val="double" w:color="auto" w:sz="2"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判断服务器是否异常，否则准备杀毒软件</w:t>
            </w:r>
          </w:p>
        </w:tc>
        <w:tc>
          <w:tcPr>
            <w:tcW w:w="2368" w:type="dxa"/>
            <w:tcBorders>
              <w:top w:val="single" w:color="auto" w:sz="6" w:space="0"/>
              <w:left w:val="single" w:color="auto" w:sz="6" w:space="0"/>
              <w:bottom w:val="double" w:color="auto" w:sz="2" w:space="0"/>
              <w:right w:val="double" w:color="auto" w:sz="2"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检查网络流量，流量异常小则报修网络服务商，流量异常大则查杀病毒</w:t>
            </w:r>
          </w:p>
        </w:tc>
      </w:tr>
    </w:tbl>
    <w:p>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4.3</w:t>
      </w:r>
      <w:r>
        <w:rPr>
          <w:rFonts w:ascii="长城楷体" w:hAnsi="宋体" w:eastAsia="长城楷体" w:cs="宋体"/>
          <w:color w:val="276CA3"/>
          <w:kern w:val="0"/>
          <w:sz w:val="24"/>
          <w:szCs w:val="24"/>
        </w:rPr>
        <w:t>突发事件应急策略</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系统运维应急方案是对中断或严重影响业务的故障，如宕机、数据丢失、业务中断等，进行快速响应和处理，在最短时间内恢复业务系统，将损失降到最低。</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在系统维护过程中，突发事件的出现将是很难完全避免的，针对这种情况，设计了完善的突发事件应急策略。</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系统巡检人员要定期规范检查各硬件设备的运转情况和应用软件运行情况，同时做好日常的数据增量备份和定期全备份。</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对发现的问题在报各级负责人的同时，要协调相关资源分析问题根源，确定解决方案和临时解决措施，避免造成更大的影响。问题得到稳定或彻底解决后，要形成问题汇报，避免以后类似重大紧急情况的发生。</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对发现的问题在报负责人的同时，要协调相关资源分析问题根源，确定解决方案和临时解决措施，避免造成更大的影响。问题得到稳定或彻底解决后，要形成问题汇报，避免以后类似重大紧急情况的发生。</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当获悉出现突发事件时，技术支持人员可以立即从知识库中获取相应的应急策略，并综合用户方的具体情况，给出相关解决方案，然后在第一时间以电话、邮件支持或现场服务的方式帮助用户解决问题，尽最大努力减小突发事件对用户日常应用的影响。</w:t>
      </w: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tbl>
      <w:tblPr>
        <w:tblStyle w:val="8"/>
        <w:tblW w:w="9758" w:type="dxa"/>
        <w:tblInd w:w="0" w:type="dxa"/>
        <w:shd w:val="clear" w:color="auto" w:fill="FFFFFF"/>
        <w:tblLayout w:type="autofit"/>
        <w:tblCellMar>
          <w:top w:w="0" w:type="dxa"/>
          <w:left w:w="0" w:type="dxa"/>
          <w:bottom w:w="0" w:type="dxa"/>
          <w:right w:w="0" w:type="dxa"/>
        </w:tblCellMar>
      </w:tblPr>
      <w:tblGrid>
        <w:gridCol w:w="1349"/>
        <w:gridCol w:w="4130"/>
        <w:gridCol w:w="4279"/>
      </w:tblGrid>
      <w:tr>
        <w:tblPrEx>
          <w:shd w:val="clear" w:color="auto" w:fill="FFFFFF"/>
          <w:tblCellMar>
            <w:top w:w="0" w:type="dxa"/>
            <w:left w:w="0" w:type="dxa"/>
            <w:bottom w:w="0" w:type="dxa"/>
            <w:right w:w="0" w:type="dxa"/>
          </w:tblCellMar>
        </w:tblPrEx>
        <w:tc>
          <w:tcPr>
            <w:tcW w:w="1349" w:type="dxa"/>
            <w:tcBorders>
              <w:top w:val="double" w:color="auto" w:sz="6" w:space="0"/>
              <w:left w:val="doub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紧急情况</w:t>
            </w:r>
          </w:p>
        </w:tc>
        <w:tc>
          <w:tcPr>
            <w:tcW w:w="4130" w:type="dxa"/>
            <w:tcBorders>
              <w:top w:val="double" w:color="auto" w:sz="6" w:space="0"/>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预防措施</w:t>
            </w:r>
          </w:p>
        </w:tc>
        <w:tc>
          <w:tcPr>
            <w:tcW w:w="4279" w:type="dxa"/>
            <w:tcBorders>
              <w:top w:val="double" w:color="auto" w:sz="6" w:space="0"/>
              <w:left w:val="single" w:color="auto" w:sz="6" w:space="0"/>
              <w:bottom w:val="single" w:color="auto" w:sz="6" w:space="0"/>
              <w:right w:val="double" w:color="auto" w:sz="6" w:space="0"/>
            </w:tcBorders>
            <w:shd w:val="clear" w:color="auto" w:fill="276CA3"/>
            <w:tcMar>
              <w:top w:w="0" w:type="dxa"/>
              <w:left w:w="105" w:type="dxa"/>
              <w:bottom w:w="0" w:type="dxa"/>
              <w:right w:w="105" w:type="dxa"/>
            </w:tcMar>
            <w:vAlign w:val="center"/>
          </w:tcPr>
          <w:p>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应急策略</w:t>
            </w:r>
          </w:p>
        </w:tc>
      </w:tr>
      <w:tr>
        <w:tblPrEx>
          <w:tblCellMar>
            <w:top w:w="0" w:type="dxa"/>
            <w:left w:w="0" w:type="dxa"/>
            <w:bottom w:w="0" w:type="dxa"/>
            <w:right w:w="0" w:type="dxa"/>
          </w:tblCellMar>
        </w:tblPrEx>
        <w:tc>
          <w:tcPr>
            <w:tcW w:w="1349" w:type="dxa"/>
            <w:tcBorders>
              <w:top w:val="nil"/>
              <w:left w:val="doub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硬件损坏</w:t>
            </w:r>
          </w:p>
        </w:tc>
        <w:tc>
          <w:tcPr>
            <w:tcW w:w="413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项目单位操作用电脑硬件损坏</w:t>
            </w:r>
          </w:p>
        </w:tc>
        <w:tc>
          <w:tcPr>
            <w:tcW w:w="4279" w:type="dxa"/>
            <w:tcBorders>
              <w:top w:val="nil"/>
              <w:left w:val="single" w:color="auto" w:sz="6" w:space="0"/>
              <w:bottom w:val="single" w:color="auto" w:sz="6" w:space="0"/>
              <w:right w:val="doub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在磁盘数据未丢失情况下，保证数据安全性，建议项目单位替换相关硬件。</w:t>
            </w:r>
          </w:p>
        </w:tc>
      </w:tr>
      <w:tr>
        <w:tblPrEx>
          <w:tblCellMar>
            <w:top w:w="0" w:type="dxa"/>
            <w:left w:w="0" w:type="dxa"/>
            <w:bottom w:w="0" w:type="dxa"/>
            <w:right w:w="0" w:type="dxa"/>
          </w:tblCellMar>
        </w:tblPrEx>
        <w:tc>
          <w:tcPr>
            <w:tcW w:w="1349" w:type="dxa"/>
            <w:tcBorders>
              <w:top w:val="single" w:color="auto" w:sz="6" w:space="0"/>
              <w:left w:val="doub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操作失误</w:t>
            </w:r>
          </w:p>
        </w:tc>
        <w:tc>
          <w:tcPr>
            <w:tcW w:w="413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加强培训力度，掌握培训效果，检验操作人员操作水准，提示注意事项。</w:t>
            </w:r>
          </w:p>
        </w:tc>
        <w:tc>
          <w:tcPr>
            <w:tcW w:w="4279" w:type="dxa"/>
            <w:tcBorders>
              <w:top w:val="single" w:color="auto" w:sz="6" w:space="0"/>
              <w:left w:val="single" w:color="auto" w:sz="6" w:space="0"/>
              <w:bottom w:val="single" w:color="auto" w:sz="6" w:space="0"/>
              <w:right w:val="doub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操作失误未造成即成结果或数据未丢失情况下，保障数据安全，反之，协调相关部门，进行补救。对操作人员强调注意事项</w:t>
            </w:r>
          </w:p>
        </w:tc>
      </w:tr>
      <w:tr>
        <w:tblPrEx>
          <w:shd w:val="clear" w:color="auto" w:fill="FFFFFF"/>
          <w:tblCellMar>
            <w:top w:w="0" w:type="dxa"/>
            <w:left w:w="0" w:type="dxa"/>
            <w:bottom w:w="0" w:type="dxa"/>
            <w:right w:w="0" w:type="dxa"/>
          </w:tblCellMar>
        </w:tblPrEx>
        <w:tc>
          <w:tcPr>
            <w:tcW w:w="1349" w:type="dxa"/>
            <w:tcBorders>
              <w:top w:val="single" w:color="auto" w:sz="6" w:space="0"/>
              <w:left w:val="doub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配置丢失</w:t>
            </w:r>
          </w:p>
        </w:tc>
        <w:tc>
          <w:tcPr>
            <w:tcW w:w="413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培训时强调使用前配置方法和步骤，并特别提示需在使用前按要求操作</w:t>
            </w:r>
          </w:p>
        </w:tc>
        <w:tc>
          <w:tcPr>
            <w:tcW w:w="4279" w:type="dxa"/>
            <w:tcBorders>
              <w:top w:val="single" w:color="auto" w:sz="6" w:space="0"/>
              <w:left w:val="single" w:color="auto" w:sz="6" w:space="0"/>
              <w:bottom w:val="single" w:color="auto" w:sz="6" w:space="0"/>
              <w:right w:val="doub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派出上门维护、培训人员重新配置，并耐心讲解。</w:t>
            </w:r>
          </w:p>
        </w:tc>
      </w:tr>
      <w:tr>
        <w:tblPrEx>
          <w:tblCellMar>
            <w:top w:w="0" w:type="dxa"/>
            <w:left w:w="0" w:type="dxa"/>
            <w:bottom w:w="0" w:type="dxa"/>
            <w:right w:w="0" w:type="dxa"/>
          </w:tblCellMar>
        </w:tblPrEx>
        <w:tc>
          <w:tcPr>
            <w:tcW w:w="1349" w:type="dxa"/>
            <w:tcBorders>
              <w:top w:val="single" w:color="auto" w:sz="6" w:space="0"/>
              <w:left w:val="double" w:color="auto" w:sz="6" w:space="0"/>
              <w:bottom w:val="doub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数据丢失</w:t>
            </w:r>
          </w:p>
        </w:tc>
        <w:tc>
          <w:tcPr>
            <w:tcW w:w="4130" w:type="dxa"/>
            <w:tcBorders>
              <w:top w:val="single" w:color="auto" w:sz="6" w:space="0"/>
              <w:left w:val="single" w:color="auto" w:sz="6" w:space="0"/>
              <w:bottom w:val="doub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培训时强调使用过程中注意定期备份重要数据，日常维护过程中，上门服务人员实时备份数据并告知用户</w:t>
            </w:r>
          </w:p>
        </w:tc>
        <w:tc>
          <w:tcPr>
            <w:tcW w:w="4279" w:type="dxa"/>
            <w:tcBorders>
              <w:top w:val="single" w:color="auto" w:sz="6" w:space="0"/>
              <w:left w:val="single" w:color="auto" w:sz="6" w:space="0"/>
              <w:bottom w:val="double" w:color="auto" w:sz="6" w:space="0"/>
              <w:right w:val="double" w:color="auto" w:sz="6" w:space="0"/>
            </w:tcBorders>
            <w:shd w:val="clear" w:color="auto" w:fill="FFFFFF"/>
            <w:tcMar>
              <w:top w:w="0" w:type="dxa"/>
              <w:left w:w="105" w:type="dxa"/>
              <w:bottom w:w="0" w:type="dxa"/>
              <w:right w:w="105" w:type="dxa"/>
            </w:tcMar>
            <w:vAlign w:val="center"/>
          </w:tcPr>
          <w:p>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协调有关部门，进行补救，无法补救，提交报告说明原因。</w:t>
            </w:r>
          </w:p>
        </w:tc>
      </w:tr>
    </w:tbl>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突发事件应急策略服务流程图如下：</w:t>
      </w:r>
    </w:p>
    <w:p>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1" o:spid="_x0000_s1029" o:spt="1" alt="https://mmbiz.qpic.cn/mmbiz_jpg/Hkpadb1dCIJ6Kf5IzkkoiaAUsab0XrmlHaKgZwTvgFglFWNq6wtWjmG4Ciaj28pLk1DM9Y1rEKWROPUsy2icWEphQ/640?wx_fmt=jpe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Xy/m9TAwAAbQYAAA4AAAAAAAAAAAAAAAAALgIA&#10;AGRycy9lMm9Eb2MueG1sUEsBAi0AFAAGAAgAAAAhAEyg6SzYAAAAAwEAAA8AAAAAAAAAAAAAAAAA&#10;rQUAAGRycy9kb3ducmV2LnhtbFBLBQYAAAAABAAEAPMAAACyBgAAAAA=&#10;">
            <v:path/>
            <v:fill on="f" focussize="0,0"/>
            <v:stroke on="f"/>
            <v:imagedata o:title=""/>
            <o:lock v:ext="edit" aspectratio="t"/>
            <w10:wrap type="none"/>
            <w10:anchorlock/>
          </v:rect>
        </w:pict>
      </w:r>
      <w:r>
        <w:rPr>
          <w:rFonts w:hint="eastAsia" w:ascii="长城楷体" w:hAnsi="微软雅黑" w:eastAsia="长城楷体" w:cs="宋体"/>
          <w:b w:val="0"/>
          <w:bCs w:val="0"/>
          <w:color w:val="333333"/>
          <w:spacing w:val="8"/>
          <w:kern w:val="0"/>
          <w:sz w:val="24"/>
          <w:szCs w:val="24"/>
        </w:rPr>
        <w:drawing>
          <wp:inline distT="0" distB="0" distL="0" distR="0">
            <wp:extent cx="5274310" cy="5231130"/>
            <wp:effectExtent l="0" t="0" r="254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274310" cy="5231130"/>
                    </a:xfrm>
                    <a:prstGeom prst="rect">
                      <a:avLst/>
                    </a:prstGeom>
                  </pic:spPr>
                </pic:pic>
              </a:graphicData>
            </a:graphic>
          </wp:inline>
        </w:drawing>
      </w:r>
    </w:p>
    <w:p>
      <w:pPr>
        <w:rPr>
          <w:rFonts w:hint="eastAsia" w:ascii="长城楷体" w:eastAsia="长城楷体"/>
          <w:lang w:eastAsia="zh-CN"/>
        </w:rPr>
      </w:pPr>
      <w:r>
        <w:rPr>
          <w:rFonts w:hint="eastAsia" w:ascii="长城楷体" w:eastAsia="长城楷体"/>
          <w:color w:val="FFFFFF" w:themeColor="background1"/>
          <w:sz w:val="2"/>
          <w:szCs w:val="2"/>
        </w:rPr>
        <w:t>您好，欢迎您阅读我的文章，本WORD文档可编辑修改，也可以直接打印。阅读过后，希望您提出保贵的意见或建议。阅读和学习是一种非常好的习惯，坚持下去，让我们共同进步</w:t>
      </w:r>
      <w:r>
        <w:rPr>
          <w:rFonts w:hint="eastAsia" w:ascii="长城楷体" w:eastAsia="长城楷体"/>
          <w:lang w:eastAsia="zh-CN"/>
        </w:rPr>
        <w:drawing>
          <wp:inline distT="0" distB="0" distL="114300" distR="114300">
            <wp:extent cx="6139815" cy="3411220"/>
            <wp:effectExtent l="0" t="0" r="6985" b="5080"/>
            <wp:docPr id="1" name="图片 1" descr="默认文件161776365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默认文件1617763658511"/>
                    <pic:cNvPicPr>
                      <a:picLocks noChangeAspect="1"/>
                    </pic:cNvPicPr>
                  </pic:nvPicPr>
                  <pic:blipFill>
                    <a:blip r:embed="rId10"/>
                    <a:stretch>
                      <a:fillRect/>
                    </a:stretch>
                  </pic:blipFill>
                  <pic:spPr>
                    <a:xfrm>
                      <a:off x="0" y="0"/>
                      <a:ext cx="6139815" cy="3411220"/>
                    </a:xfrm>
                    <a:prstGeom prst="rect">
                      <a:avLst/>
                    </a:prstGeom>
                  </pic:spPr>
                </pic:pic>
              </a:graphicData>
            </a:graphic>
          </wp:inline>
        </w:drawing>
      </w:r>
      <w:bookmarkStart w:id="0" w:name="_GoBack"/>
      <w:bookmarkEnd w:id="0"/>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长城楷体">
    <w:altName w:val="宋体"/>
    <w:panose1 w:val="0201060900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hint="eastAsia"/>
        <w:lang w:eastAsia="zh-CN"/>
      </w:rPr>
      <w:t>更多专业文档请访问</w:t>
    </w:r>
    <w:r>
      <w:rPr>
        <w:rFonts w:hint="eastAsia"/>
        <w:lang w:val="en-US" w:eastAsia="zh-CN"/>
      </w:rPr>
      <w:t xml:space="preserve"> www.itilzj.com</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71A15"/>
    <w:multiLevelType w:val="multilevel"/>
    <w:tmpl w:val="28C71A1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4518D"/>
    <w:rsid w:val="001B0A49"/>
    <w:rsid w:val="0034518D"/>
    <w:rsid w:val="00350A24"/>
    <w:rsid w:val="00371284"/>
    <w:rsid w:val="005825A8"/>
    <w:rsid w:val="00852FC5"/>
    <w:rsid w:val="009927FE"/>
    <w:rsid w:val="00A3709E"/>
    <w:rsid w:val="00A41015"/>
    <w:rsid w:val="00A43A72"/>
    <w:rsid w:val="00D00F6C"/>
    <w:rsid w:val="0A1C629A"/>
    <w:rsid w:val="3E077A06"/>
    <w:rsid w:val="4A6901F1"/>
    <w:rsid w:val="57B83FF0"/>
    <w:rsid w:val="6EFD19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b/>
      <w:bCs/>
      <w:kern w:val="44"/>
      <w:sz w:val="44"/>
      <w:szCs w:val="4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kern w:val="36"/>
      <w:sz w:val="48"/>
      <w:szCs w:val="48"/>
    </w:rPr>
  </w:style>
  <w:style w:type="paragraph" w:styleId="3">
    <w:name w:val="heading 2"/>
    <w:basedOn w:val="1"/>
    <w:next w:val="1"/>
    <w:link w:val="12"/>
    <w:qFormat/>
    <w:uiPriority w:val="9"/>
    <w:pPr>
      <w:widowControl/>
      <w:spacing w:before="100" w:beforeAutospacing="1" w:after="100" w:afterAutospacing="1"/>
      <w:jc w:val="left"/>
      <w:outlineLvl w:val="1"/>
    </w:pPr>
    <w:rPr>
      <w:rFonts w:ascii="宋体" w:hAnsi="宋体" w:cs="宋体"/>
      <w:kern w:val="0"/>
      <w:sz w:val="36"/>
      <w:szCs w:val="36"/>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cs="宋体"/>
      <w:b w:val="0"/>
      <w:bCs w:val="0"/>
      <w:kern w:val="0"/>
      <w:sz w:val="24"/>
      <w:szCs w:val="24"/>
    </w:rPr>
  </w:style>
  <w:style w:type="character" w:styleId="10">
    <w:name w:val="Strong"/>
    <w:basedOn w:val="9"/>
    <w:qFormat/>
    <w:uiPriority w:val="22"/>
  </w:style>
  <w:style w:type="character" w:customStyle="1" w:styleId="11">
    <w:name w:val="标题 1 Char"/>
    <w:basedOn w:val="9"/>
    <w:link w:val="2"/>
    <w:qFormat/>
    <w:uiPriority w:val="9"/>
    <w:rPr>
      <w:rFonts w:ascii="宋体" w:hAnsi="宋体" w:cs="宋体"/>
      <w:kern w:val="36"/>
      <w:sz w:val="48"/>
      <w:szCs w:val="48"/>
    </w:rPr>
  </w:style>
  <w:style w:type="character" w:customStyle="1" w:styleId="12">
    <w:name w:val="标题 2 Char"/>
    <w:basedOn w:val="9"/>
    <w:link w:val="3"/>
    <w:qFormat/>
    <w:uiPriority w:val="9"/>
    <w:rPr>
      <w:rFonts w:ascii="宋体" w:hAnsi="宋体" w:cs="宋体"/>
      <w:kern w:val="0"/>
      <w:sz w:val="36"/>
      <w:szCs w:val="36"/>
    </w:rPr>
  </w:style>
  <w:style w:type="paragraph" w:customStyle="1" w:styleId="13">
    <w:name w:val="msonormal"/>
    <w:basedOn w:val="1"/>
    <w:qFormat/>
    <w:uiPriority w:val="0"/>
    <w:pPr>
      <w:widowControl/>
      <w:spacing w:before="100" w:beforeAutospacing="1" w:after="100" w:afterAutospacing="1"/>
      <w:jc w:val="left"/>
    </w:pPr>
    <w:rPr>
      <w:rFonts w:ascii="宋体" w:hAnsi="宋体" w:cs="宋体"/>
      <w:b w:val="0"/>
      <w:bCs w:val="0"/>
      <w:kern w:val="0"/>
      <w:sz w:val="24"/>
      <w:szCs w:val="24"/>
    </w:rPr>
  </w:style>
  <w:style w:type="character" w:customStyle="1" w:styleId="14">
    <w:name w:val="页眉 Char"/>
    <w:basedOn w:val="9"/>
    <w:link w:val="6"/>
    <w:uiPriority w:val="99"/>
    <w:rPr>
      <w:sz w:val="18"/>
      <w:szCs w:val="18"/>
    </w:rPr>
  </w:style>
  <w:style w:type="character" w:customStyle="1" w:styleId="15">
    <w:name w:val="页脚 Char"/>
    <w:basedOn w:val="9"/>
    <w:link w:val="5"/>
    <w:qFormat/>
    <w:uiPriority w:val="99"/>
    <w:rPr>
      <w:sz w:val="18"/>
      <w:szCs w:val="18"/>
    </w:rPr>
  </w:style>
  <w:style w:type="character" w:customStyle="1" w:styleId="16">
    <w:name w:val="批注框文本 Char"/>
    <w:basedOn w:val="9"/>
    <w:link w:val="4"/>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6"/>
    <customShpInfo spid="_x0000_s1035"/>
    <customShpInfo spid="_x0000_s1034"/>
    <customShpInfo spid="_x0000_s1033"/>
    <customShpInfo spid="_x0000_s1032"/>
    <customShpInfo spid="_x0000_s1031"/>
    <customShpInfo spid="_x0000_s1028"/>
    <customShpInfo spid="_x0000_s103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1361</Words>
  <Characters>7758</Characters>
  <Lines>64</Lines>
  <Paragraphs>18</Paragraphs>
  <TotalTime>0</TotalTime>
  <ScaleCrop>false</ScaleCrop>
  <LinksUpToDate>false</LinksUpToDate>
  <CharactersWithSpaces>9101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2018-07-25T03:10:00Z</dcterms:created>
  <dc:creator>window</dc:creator>
  <cp:lastModifiedBy>NickCui</cp:lastModifiedBy>
  <dcterms:modified xsi:type="dcterms:W3CDTF">2021-04-07T02:50:08Z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28B2546FFD2E48F69EBC09277DF570F5</vt:lpwstr>
  </property>
</Properties>
</file>